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CB800" w14:textId="226000D8"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 </w:t>
      </w:r>
      <w:r w:rsidR="00A00A84">
        <w:rPr>
          <w:lang w:val="en-GB"/>
        </w:rPr>
        <w:t>September 19</w:t>
      </w:r>
      <w:r w:rsidR="00930A2C" w:rsidRPr="00930A2C">
        <w:rPr>
          <w:vertAlign w:val="superscript"/>
          <w:lang w:val="en-GB"/>
        </w:rPr>
        <w:t>th</w:t>
      </w:r>
      <w:r w:rsidR="00930A2C">
        <w:rPr>
          <w:lang w:val="en-GB"/>
        </w:rPr>
        <w:t>,</w:t>
      </w:r>
      <w:r w:rsidR="002B6654">
        <w:rPr>
          <w:lang w:val="en-GB"/>
        </w:rPr>
        <w:t xml:space="preserve"> 201</w:t>
      </w:r>
      <w:r w:rsidR="00A00A84">
        <w:rPr>
          <w:lang w:val="en-GB"/>
        </w:rPr>
        <w:t>8</w:t>
      </w:r>
    </w:p>
    <w:p w14:paraId="782B9C1B" w14:textId="77777777" w:rsidR="00F221CB" w:rsidRPr="00A765DD" w:rsidRDefault="00F221CB" w:rsidP="00334269">
      <w:pPr>
        <w:pStyle w:val="Heading2"/>
        <w:ind w:left="-426"/>
        <w:rPr>
          <w:lang w:val="en-GB"/>
        </w:rPr>
      </w:pPr>
      <w:r w:rsidRPr="00A765DD">
        <w:rPr>
          <w:lang w:val="en-GB"/>
        </w:rPr>
        <w:t>name:</w:t>
      </w:r>
      <w:bookmarkStart w:id="0" w:name="_GoBack"/>
      <w:bookmarkEnd w:id="0"/>
    </w:p>
    <w:p w14:paraId="3C10BC48" w14:textId="0C239E34" w:rsidR="009D1872" w:rsidRPr="00334269" w:rsidRDefault="006123D1" w:rsidP="00334269">
      <w:pPr>
        <w:pStyle w:val="Heading1"/>
      </w:pPr>
      <w:r w:rsidRPr="00334269">
        <w:t>Scheduling (8</w:t>
      </w:r>
      <w:r w:rsidR="009D1872" w:rsidRPr="00334269">
        <w:t xml:space="preserve"> points)</w:t>
      </w:r>
    </w:p>
    <w:p w14:paraId="6EC3A5D7" w14:textId="34091A7B" w:rsidR="00ED2B7E" w:rsidRDefault="00D21B7F" w:rsidP="00334269">
      <w:pPr>
        <w:pStyle w:val="BodyText"/>
        <w:keepNext/>
        <w:ind w:left="0"/>
        <w:rPr>
          <w:lang w:val="en-GB"/>
        </w:rPr>
      </w:pPr>
      <w:r>
        <w:rPr>
          <w:lang w:val="en-GB"/>
        </w:rPr>
        <w:t xml:space="preserve">A project to develop a commercial building is </w:t>
      </w:r>
      <w:r w:rsidR="00ED2B7E">
        <w:rPr>
          <w:lang w:val="en-GB"/>
        </w:rPr>
        <w:t xml:space="preserve">represented </w:t>
      </w:r>
      <w:r>
        <w:rPr>
          <w:lang w:val="en-GB"/>
        </w:rPr>
        <w:t xml:space="preserve">as </w:t>
      </w:r>
      <w:r w:rsidR="00ED2B7E">
        <w:rPr>
          <w:lang w:val="en-GB"/>
        </w:rPr>
        <w:t>per the following chart</w:t>
      </w:r>
      <w:r>
        <w:rPr>
          <w:lang w:val="en-GB"/>
        </w:rPr>
        <w:t xml:space="preserve">. Please compute the duration of the project </w:t>
      </w:r>
      <w:r w:rsidR="00ED2B7E">
        <w:rPr>
          <w:lang w:val="en-GB"/>
        </w:rPr>
        <w:t>using a network scheduling technique</w:t>
      </w:r>
      <w:r w:rsidR="00FE57FD">
        <w:rPr>
          <w:lang w:val="en-GB"/>
        </w:rPr>
        <w:t xml:space="preserve"> of your choosing</w:t>
      </w:r>
      <w:r w:rsidR="00ED2B7E">
        <w:rPr>
          <w:lang w:val="en-GB"/>
        </w:rPr>
        <w:t>.</w:t>
      </w:r>
    </w:p>
    <w:tbl>
      <w:tblPr>
        <w:tblW w:w="93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1"/>
        <w:gridCol w:w="1046"/>
        <w:gridCol w:w="3893"/>
        <w:gridCol w:w="2485"/>
      </w:tblGrid>
      <w:tr w:rsidR="00D50333" w:rsidRPr="00D50333" w14:paraId="2315B345" w14:textId="77777777" w:rsidTr="00334269">
        <w:trPr>
          <w:trHeight w:val="301"/>
        </w:trPr>
        <w:tc>
          <w:tcPr>
            <w:tcW w:w="1931" w:type="dxa"/>
            <w:shd w:val="clear" w:color="auto" w:fill="auto"/>
            <w:noWrap/>
            <w:hideMark/>
          </w:tcPr>
          <w:p w14:paraId="1CBA0738" w14:textId="77777777" w:rsidR="00D50333" w:rsidRPr="00D50333" w:rsidRDefault="00D50333" w:rsidP="00334269">
            <w:pPr>
              <w:pStyle w:val="BodyText"/>
              <w:keepNext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Task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27B3B22E" w14:textId="77777777" w:rsidR="00D50333" w:rsidRPr="00D50333" w:rsidRDefault="00D50333" w:rsidP="00334269">
            <w:pPr>
              <w:pStyle w:val="BodyText"/>
              <w:keepNext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 [weeks</w:t>
            </w:r>
            <w:r w:rsidRPr="00D50333">
              <w:rPr>
                <w:b/>
                <w:lang w:val="en-GB"/>
              </w:rPr>
              <w:t>]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33C76973" w14:textId="77777777" w:rsidR="00D50333" w:rsidRPr="00D50333" w:rsidRDefault="00D50333" w:rsidP="00334269">
            <w:pPr>
              <w:pStyle w:val="BodyText"/>
              <w:keepNext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Predecessor 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04253959" w14:textId="77777777" w:rsidR="00D50333" w:rsidRPr="00D50333" w:rsidRDefault="00D50333" w:rsidP="00334269">
            <w:pPr>
              <w:pStyle w:val="BodyText"/>
              <w:keepNext/>
              <w:ind w:lef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Successor </w:t>
            </w:r>
          </w:p>
        </w:tc>
      </w:tr>
      <w:tr w:rsidR="00D50333" w:rsidRPr="00421C3A" w14:paraId="02CB6AAB" w14:textId="77777777" w:rsidTr="00334269">
        <w:trPr>
          <w:trHeight w:val="313"/>
        </w:trPr>
        <w:tc>
          <w:tcPr>
            <w:tcW w:w="1931" w:type="dxa"/>
            <w:shd w:val="clear" w:color="auto" w:fill="auto"/>
            <w:noWrap/>
            <w:hideMark/>
          </w:tcPr>
          <w:p w14:paraId="128B30CA" w14:textId="1D9D7C2C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421C3A">
              <w:rPr>
                <w:lang w:val="en-GB"/>
              </w:rPr>
              <w:t xml:space="preserve">Basic </w:t>
            </w:r>
            <w:r w:rsidR="001C7F51" w:rsidRPr="00421C3A">
              <w:rPr>
                <w:lang w:val="en-GB"/>
              </w:rPr>
              <w:t>Design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00DB7D3E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20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7F606E6A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</w:p>
        </w:tc>
        <w:tc>
          <w:tcPr>
            <w:tcW w:w="2485" w:type="dxa"/>
            <w:shd w:val="clear" w:color="auto" w:fill="auto"/>
            <w:noWrap/>
            <w:hideMark/>
          </w:tcPr>
          <w:p w14:paraId="3178CFDF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</w:p>
        </w:tc>
      </w:tr>
      <w:tr w:rsidR="005C0AD2" w:rsidRPr="00421C3A" w14:paraId="280CFEBA" w14:textId="77777777" w:rsidTr="00334269">
        <w:trPr>
          <w:trHeight w:val="313"/>
        </w:trPr>
        <w:tc>
          <w:tcPr>
            <w:tcW w:w="1931" w:type="dxa"/>
            <w:shd w:val="clear" w:color="auto" w:fill="auto"/>
            <w:noWrap/>
            <w:hideMark/>
          </w:tcPr>
          <w:p w14:paraId="50C7CEA1" w14:textId="592FC79F" w:rsidR="005C0AD2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421C3A">
              <w:rPr>
                <w:lang w:val="en-GB"/>
              </w:rPr>
              <w:t xml:space="preserve">Detailed </w:t>
            </w:r>
            <w:r w:rsidR="001C7F51" w:rsidRPr="00421C3A">
              <w:rPr>
                <w:lang w:val="en-GB"/>
              </w:rPr>
              <w:t>Design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1C4ECC49" w14:textId="77777777" w:rsidR="005C0AD2" w:rsidRPr="00D50333" w:rsidRDefault="005C0AD2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36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15FFD62D" w14:textId="6BE7CA3E" w:rsidR="005C0AD2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D50333">
              <w:rPr>
                <w:lang w:val="en-GB"/>
              </w:rPr>
              <w:t>Basic</w:t>
            </w:r>
            <w:r>
              <w:rPr>
                <w:lang w:val="en-GB"/>
              </w:rPr>
              <w:t xml:space="preserve"> </w:t>
            </w:r>
            <w:r w:rsidR="001C7F51" w:rsidRPr="00D50333">
              <w:rPr>
                <w:lang w:val="en-GB"/>
              </w:rPr>
              <w:t>Design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12C84508" w14:textId="31226022" w:rsidR="005C0AD2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Building </w:t>
            </w:r>
            <w:r w:rsidR="001C7F51">
              <w:rPr>
                <w:lang w:val="en-GB"/>
              </w:rPr>
              <w:t>Services</w:t>
            </w:r>
          </w:p>
        </w:tc>
      </w:tr>
      <w:tr w:rsidR="00D50333" w:rsidRPr="00421C3A" w14:paraId="34CA8F91" w14:textId="77777777" w:rsidTr="00334269">
        <w:trPr>
          <w:trHeight w:val="219"/>
        </w:trPr>
        <w:tc>
          <w:tcPr>
            <w:tcW w:w="1931" w:type="dxa"/>
            <w:shd w:val="clear" w:color="auto" w:fill="auto"/>
            <w:noWrap/>
            <w:hideMark/>
          </w:tcPr>
          <w:p w14:paraId="1594EF9A" w14:textId="46F5F095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421C3A">
              <w:rPr>
                <w:lang w:val="en-GB"/>
              </w:rPr>
              <w:t>P</w:t>
            </w:r>
            <w:r w:rsidR="005C0AD2">
              <w:rPr>
                <w:lang w:val="en-GB"/>
              </w:rPr>
              <w:t>ermits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0DB8AC1C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24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00AF5464" w14:textId="4C6F1A95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D50333">
              <w:rPr>
                <w:lang w:val="en-GB"/>
              </w:rPr>
              <w:t>B</w:t>
            </w:r>
            <w:r w:rsidR="00D50333" w:rsidRPr="00D50333">
              <w:rPr>
                <w:lang w:val="en-GB"/>
              </w:rPr>
              <w:t>asic</w:t>
            </w:r>
            <w:r>
              <w:rPr>
                <w:lang w:val="en-GB"/>
              </w:rPr>
              <w:t xml:space="preserve"> </w:t>
            </w:r>
            <w:r w:rsidR="001C7F51" w:rsidRPr="00D50333">
              <w:rPr>
                <w:lang w:val="en-GB"/>
              </w:rPr>
              <w:t>Design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614525DE" w14:textId="6B99F8CE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D50333">
              <w:rPr>
                <w:lang w:val="en-GB"/>
              </w:rPr>
              <w:t xml:space="preserve">50% </w:t>
            </w:r>
            <w:r w:rsidR="005C0AD2">
              <w:rPr>
                <w:lang w:val="en-GB"/>
              </w:rPr>
              <w:t>of</w:t>
            </w:r>
            <w:r w:rsidRPr="00D50333">
              <w:rPr>
                <w:lang w:val="en-GB"/>
              </w:rPr>
              <w:t xml:space="preserve"> Procurement</w:t>
            </w:r>
            <w:r w:rsidR="005C0AD2">
              <w:rPr>
                <w:lang w:val="en-GB"/>
              </w:rPr>
              <w:t xml:space="preserve"> </w:t>
            </w:r>
          </w:p>
        </w:tc>
      </w:tr>
      <w:tr w:rsidR="00D50333" w:rsidRPr="00421C3A" w14:paraId="00BF9218" w14:textId="77777777" w:rsidTr="00334269">
        <w:trPr>
          <w:trHeight w:val="73"/>
        </w:trPr>
        <w:tc>
          <w:tcPr>
            <w:tcW w:w="1931" w:type="dxa"/>
            <w:shd w:val="clear" w:color="auto" w:fill="auto"/>
            <w:noWrap/>
            <w:hideMark/>
          </w:tcPr>
          <w:p w14:paraId="59F26B6A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D50333">
              <w:rPr>
                <w:lang w:val="en-GB"/>
              </w:rPr>
              <w:t>Procurement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440FB51F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54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29A44A84" w14:textId="6D1AF60E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10 weeks after Detailed D</w:t>
            </w:r>
            <w:r w:rsidR="00D50333" w:rsidRPr="00D50333">
              <w:rPr>
                <w:lang w:val="en-GB"/>
              </w:rPr>
              <w:t xml:space="preserve">esign </w:t>
            </w:r>
            <w:r>
              <w:rPr>
                <w:lang w:val="en-GB"/>
              </w:rPr>
              <w:t>is started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1ECB8525" w14:textId="2C7CD4D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Building </w:t>
            </w:r>
            <w:r w:rsidR="001C7F51">
              <w:rPr>
                <w:lang w:val="en-GB"/>
              </w:rPr>
              <w:t>Services</w:t>
            </w:r>
          </w:p>
        </w:tc>
      </w:tr>
      <w:tr w:rsidR="00D50333" w:rsidRPr="00421C3A" w14:paraId="54C9A31F" w14:textId="77777777" w:rsidTr="00334269">
        <w:trPr>
          <w:trHeight w:val="73"/>
        </w:trPr>
        <w:tc>
          <w:tcPr>
            <w:tcW w:w="1931" w:type="dxa"/>
            <w:shd w:val="clear" w:color="auto" w:fill="auto"/>
            <w:noWrap/>
            <w:hideMark/>
          </w:tcPr>
          <w:p w14:paraId="5054584B" w14:textId="70B40AD1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421C3A">
              <w:rPr>
                <w:lang w:val="en-GB"/>
              </w:rPr>
              <w:t xml:space="preserve">Civil </w:t>
            </w:r>
            <w:r w:rsidR="001C7F51" w:rsidRPr="00421C3A">
              <w:rPr>
                <w:lang w:val="en-GB"/>
              </w:rPr>
              <w:t xml:space="preserve">Work 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4ECC0A37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66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04B0C48A" w14:textId="27F160DE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Permits and</w:t>
            </w:r>
            <w:r w:rsidR="00D50333" w:rsidRPr="00D50333">
              <w:rPr>
                <w:lang w:val="en-GB"/>
              </w:rPr>
              <w:t xml:space="preserve"> 50% </w:t>
            </w:r>
            <w:r>
              <w:rPr>
                <w:lang w:val="en-GB"/>
              </w:rPr>
              <w:t>of Detailed Design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0C708C79" w14:textId="613339E3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Finishes</w:t>
            </w:r>
          </w:p>
        </w:tc>
      </w:tr>
      <w:tr w:rsidR="00D50333" w:rsidRPr="00421C3A" w14:paraId="3E88D1A3" w14:textId="77777777" w:rsidTr="00334269">
        <w:trPr>
          <w:trHeight w:val="73"/>
        </w:trPr>
        <w:tc>
          <w:tcPr>
            <w:tcW w:w="1931" w:type="dxa"/>
            <w:shd w:val="clear" w:color="auto" w:fill="auto"/>
            <w:noWrap/>
            <w:hideMark/>
          </w:tcPr>
          <w:p w14:paraId="5683B9B2" w14:textId="50F85E3A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Building </w:t>
            </w:r>
            <w:r w:rsidR="001C7F51">
              <w:rPr>
                <w:lang w:val="en-GB"/>
              </w:rPr>
              <w:t>Services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1677CEEA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40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0D49940B" w14:textId="460FEA3D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D50333">
              <w:rPr>
                <w:lang w:val="en-GB"/>
              </w:rPr>
              <w:t xml:space="preserve">70% </w:t>
            </w:r>
            <w:r w:rsidR="001C7F51">
              <w:rPr>
                <w:lang w:val="en-GB"/>
              </w:rPr>
              <w:t>of Civil W</w:t>
            </w:r>
            <w:r w:rsidRPr="00D50333">
              <w:rPr>
                <w:lang w:val="en-GB"/>
              </w:rPr>
              <w:t xml:space="preserve">orks 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5AC123D7" w14:textId="1E0033BA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Finishes</w:t>
            </w:r>
          </w:p>
        </w:tc>
      </w:tr>
      <w:tr w:rsidR="00D50333" w:rsidRPr="00421C3A" w14:paraId="0A620632" w14:textId="77777777" w:rsidTr="00334269">
        <w:trPr>
          <w:trHeight w:val="73"/>
        </w:trPr>
        <w:tc>
          <w:tcPr>
            <w:tcW w:w="1931" w:type="dxa"/>
            <w:shd w:val="clear" w:color="auto" w:fill="auto"/>
            <w:noWrap/>
            <w:hideMark/>
          </w:tcPr>
          <w:p w14:paraId="21DF2E96" w14:textId="1EB21EAA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Finishes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0A0AF834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36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61E08FD9" w14:textId="1E7DDAAE" w:rsidR="00D50333" w:rsidRPr="00D50333" w:rsidRDefault="001C7F51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50% of </w:t>
            </w:r>
            <w:r w:rsidR="00D50333">
              <w:rPr>
                <w:lang w:val="en-GB"/>
              </w:rPr>
              <w:t xml:space="preserve">Building </w:t>
            </w:r>
            <w:r>
              <w:rPr>
                <w:lang w:val="en-GB"/>
              </w:rPr>
              <w:t>Services</w:t>
            </w:r>
            <w:r w:rsidRPr="00D50333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</w:t>
            </w:r>
            <w:r w:rsidR="00D50333" w:rsidRPr="00D50333">
              <w:rPr>
                <w:lang w:val="en-GB"/>
              </w:rPr>
              <w:t xml:space="preserve"> </w:t>
            </w:r>
            <w:r w:rsidRPr="00D50333">
              <w:rPr>
                <w:lang w:val="en-GB"/>
              </w:rPr>
              <w:t>Civil Work</w:t>
            </w:r>
            <w:r>
              <w:rPr>
                <w:lang w:val="en-GB"/>
              </w:rPr>
              <w:t>s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7EFB5111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</w:p>
        </w:tc>
      </w:tr>
      <w:tr w:rsidR="00D50333" w:rsidRPr="00421C3A" w14:paraId="54412332" w14:textId="77777777" w:rsidTr="00334269">
        <w:trPr>
          <w:trHeight w:val="313"/>
        </w:trPr>
        <w:tc>
          <w:tcPr>
            <w:tcW w:w="1931" w:type="dxa"/>
            <w:shd w:val="clear" w:color="auto" w:fill="auto"/>
            <w:noWrap/>
            <w:hideMark/>
          </w:tcPr>
          <w:p w14:paraId="6D9459F1" w14:textId="22422CB3" w:rsidR="00D50333" w:rsidRPr="00D50333" w:rsidRDefault="005C0AD2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Final test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6F4B7214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  <w:r w:rsidRPr="00D50333">
              <w:rPr>
                <w:lang w:val="en-GB"/>
              </w:rPr>
              <w:t>12</w:t>
            </w:r>
          </w:p>
        </w:tc>
        <w:tc>
          <w:tcPr>
            <w:tcW w:w="3893" w:type="dxa"/>
            <w:shd w:val="clear" w:color="auto" w:fill="auto"/>
            <w:noWrap/>
            <w:hideMark/>
          </w:tcPr>
          <w:p w14:paraId="3C644919" w14:textId="732D7E64" w:rsidR="00D50333" w:rsidRPr="00D50333" w:rsidRDefault="001C7F51" w:rsidP="00334269">
            <w:pPr>
              <w:pStyle w:val="BodyText"/>
              <w:keepNext/>
              <w:ind w:left="0"/>
              <w:rPr>
                <w:lang w:val="en-GB"/>
              </w:rPr>
            </w:pPr>
            <w:r>
              <w:rPr>
                <w:lang w:val="en-GB"/>
              </w:rPr>
              <w:t>Building Services, Finishes</w:t>
            </w:r>
          </w:p>
        </w:tc>
        <w:tc>
          <w:tcPr>
            <w:tcW w:w="2485" w:type="dxa"/>
            <w:shd w:val="clear" w:color="auto" w:fill="auto"/>
            <w:noWrap/>
            <w:hideMark/>
          </w:tcPr>
          <w:p w14:paraId="6E552A35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</w:p>
        </w:tc>
      </w:tr>
      <w:tr w:rsidR="00D50333" w:rsidRPr="00421C3A" w14:paraId="1C9B7C5D" w14:textId="77777777" w:rsidTr="00334269">
        <w:trPr>
          <w:trHeight w:val="73"/>
        </w:trPr>
        <w:tc>
          <w:tcPr>
            <w:tcW w:w="1931" w:type="dxa"/>
            <w:shd w:val="clear" w:color="auto" w:fill="auto"/>
            <w:noWrap/>
            <w:hideMark/>
          </w:tcPr>
          <w:p w14:paraId="61F01D63" w14:textId="3559FE2A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  <w:r w:rsidRPr="00D50333">
              <w:rPr>
                <w:lang w:val="en-GB"/>
              </w:rPr>
              <w:t xml:space="preserve">Project </w:t>
            </w:r>
            <w:r w:rsidR="001C7F51" w:rsidRPr="00D50333">
              <w:rPr>
                <w:lang w:val="en-GB"/>
              </w:rPr>
              <w:t>Management</w:t>
            </w:r>
          </w:p>
        </w:tc>
        <w:tc>
          <w:tcPr>
            <w:tcW w:w="1046" w:type="dxa"/>
            <w:shd w:val="clear" w:color="auto" w:fill="auto"/>
            <w:noWrap/>
            <w:hideMark/>
          </w:tcPr>
          <w:p w14:paraId="53A45234" w14:textId="77777777" w:rsidR="00D50333" w:rsidRPr="00D50333" w:rsidRDefault="00D50333" w:rsidP="00334269">
            <w:pPr>
              <w:pStyle w:val="BodyText"/>
              <w:keepNext/>
              <w:ind w:left="0"/>
              <w:jc w:val="right"/>
              <w:rPr>
                <w:lang w:val="en-GB"/>
              </w:rPr>
            </w:pPr>
          </w:p>
        </w:tc>
        <w:tc>
          <w:tcPr>
            <w:tcW w:w="3893" w:type="dxa"/>
            <w:shd w:val="clear" w:color="auto" w:fill="auto"/>
            <w:noWrap/>
            <w:hideMark/>
          </w:tcPr>
          <w:p w14:paraId="61F27CAA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</w:p>
        </w:tc>
        <w:tc>
          <w:tcPr>
            <w:tcW w:w="2485" w:type="dxa"/>
            <w:shd w:val="clear" w:color="auto" w:fill="auto"/>
            <w:noWrap/>
            <w:hideMark/>
          </w:tcPr>
          <w:p w14:paraId="2EA5758D" w14:textId="77777777" w:rsidR="00D50333" w:rsidRPr="00D50333" w:rsidRDefault="00D50333" w:rsidP="00334269">
            <w:pPr>
              <w:pStyle w:val="BodyText"/>
              <w:keepNext/>
              <w:ind w:left="0"/>
              <w:rPr>
                <w:lang w:val="en-GB"/>
              </w:rPr>
            </w:pPr>
          </w:p>
        </w:tc>
      </w:tr>
    </w:tbl>
    <w:p w14:paraId="67FE2BE7" w14:textId="318A5F92" w:rsidR="00DE1FAD" w:rsidRPr="009633B1" w:rsidRDefault="000B08CC" w:rsidP="00334269">
      <w:pPr>
        <w:pStyle w:val="Heading1"/>
      </w:pPr>
      <w:r w:rsidRPr="009633B1">
        <w:t>(</w:t>
      </w:r>
      <w:r w:rsidR="006123D1">
        <w:t>6</w:t>
      </w:r>
      <w:r w:rsidR="00F45CA2" w:rsidRPr="009633B1">
        <w:t xml:space="preserve"> </w:t>
      </w:r>
      <w:r w:rsidR="0027230E" w:rsidRPr="009633B1">
        <w:t>points)</w:t>
      </w:r>
    </w:p>
    <w:p w14:paraId="1CE73DA6" w14:textId="7D2B0AEF" w:rsidR="00F45CA2" w:rsidRDefault="00EC08B3" w:rsidP="00334269">
      <w:pPr>
        <w:pStyle w:val="BodyText"/>
        <w:ind w:left="0"/>
        <w:rPr>
          <w:lang w:val="en-GB"/>
        </w:rPr>
      </w:pPr>
      <w:r>
        <w:rPr>
          <w:lang w:val="en-GB"/>
        </w:rPr>
        <w:t xml:space="preserve">A real estate </w:t>
      </w:r>
      <w:r w:rsidR="00821662">
        <w:rPr>
          <w:lang w:val="en-GB"/>
        </w:rPr>
        <w:t xml:space="preserve">development </w:t>
      </w:r>
      <w:r>
        <w:rPr>
          <w:lang w:val="en-GB"/>
        </w:rPr>
        <w:t>company is</w:t>
      </w:r>
      <w:r w:rsidR="00821662">
        <w:rPr>
          <w:lang w:val="en-GB"/>
        </w:rPr>
        <w:t xml:space="preserve"> considering building</w:t>
      </w:r>
      <w:r>
        <w:rPr>
          <w:lang w:val="en-GB"/>
        </w:rPr>
        <w:t xml:space="preserve"> a recreational facility on a public plot of land. Based on current estimates, the required investment to design and construct the facility is $20million. The facility will assure a $2,000,000 annual post-tax income.</w:t>
      </w:r>
      <w:r w:rsidR="00334269">
        <w:rPr>
          <w:lang w:val="en-GB"/>
        </w:rPr>
        <w:t xml:space="preserve"> </w:t>
      </w:r>
      <w:r>
        <w:rPr>
          <w:lang w:val="en-GB"/>
        </w:rPr>
        <w:t>The local government proposes two alternate schemes:</w:t>
      </w:r>
    </w:p>
    <w:p w14:paraId="0BC7240C" w14:textId="3E617CCA" w:rsidR="00EC08B3" w:rsidRDefault="008E5DC8" w:rsidP="00334269">
      <w:pPr>
        <w:pStyle w:val="BodyText"/>
        <w:numPr>
          <w:ilvl w:val="0"/>
          <w:numId w:val="32"/>
        </w:numPr>
        <w:ind w:left="426" w:hanging="426"/>
        <w:rPr>
          <w:lang w:val="en-GB"/>
        </w:rPr>
      </w:pPr>
      <w:r>
        <w:rPr>
          <w:lang w:val="en-GB"/>
        </w:rPr>
        <w:t>buy</w:t>
      </w:r>
      <w:r w:rsidR="00EC08B3">
        <w:rPr>
          <w:lang w:val="en-GB"/>
        </w:rPr>
        <w:t xml:space="preserve"> the perpetual </w:t>
      </w:r>
      <w:r w:rsidR="006123D1">
        <w:rPr>
          <w:lang w:val="en-GB"/>
        </w:rPr>
        <w:t xml:space="preserve">real estate </w:t>
      </w:r>
      <w:r w:rsidR="00EC08B3">
        <w:rPr>
          <w:lang w:val="en-GB"/>
        </w:rPr>
        <w:t>property for $10million;</w:t>
      </w:r>
    </w:p>
    <w:p w14:paraId="14FA46A6" w14:textId="359BAC73" w:rsidR="00EC08B3" w:rsidRDefault="006123D1" w:rsidP="00334269">
      <w:pPr>
        <w:pStyle w:val="BodyText"/>
        <w:numPr>
          <w:ilvl w:val="0"/>
          <w:numId w:val="32"/>
        </w:numPr>
        <w:ind w:left="426" w:hanging="426"/>
        <w:rPr>
          <w:lang w:val="en-GB"/>
        </w:rPr>
      </w:pPr>
      <w:r>
        <w:rPr>
          <w:lang w:val="en-GB"/>
        </w:rPr>
        <w:t>sign</w:t>
      </w:r>
      <w:r w:rsidR="00EC08B3">
        <w:rPr>
          <w:lang w:val="en-GB"/>
        </w:rPr>
        <w:t xml:space="preserve"> a 30-year long BOT concession</w:t>
      </w:r>
      <w:r>
        <w:rPr>
          <w:lang w:val="en-GB"/>
        </w:rPr>
        <w:t xml:space="preserve"> contract</w:t>
      </w:r>
      <w:r w:rsidR="00EC08B3">
        <w:rPr>
          <w:lang w:val="en-GB"/>
        </w:rPr>
        <w:t xml:space="preserve">. In this case </w:t>
      </w:r>
      <w:r w:rsidR="008E5DC8">
        <w:rPr>
          <w:lang w:val="en-GB"/>
        </w:rPr>
        <w:t>the government does not charge any payment</w:t>
      </w:r>
      <w:r w:rsidR="00EC08B3">
        <w:rPr>
          <w:lang w:val="en-GB"/>
        </w:rPr>
        <w:t>, but the property must be transferred back at the end of the concession period</w:t>
      </w:r>
      <w:r w:rsidR="008E5DC8">
        <w:rPr>
          <w:lang w:val="en-GB"/>
        </w:rPr>
        <w:t>.</w:t>
      </w:r>
    </w:p>
    <w:p w14:paraId="5DDC0C80" w14:textId="0E5C94C6" w:rsidR="00EC08B3" w:rsidRDefault="008E5DC8" w:rsidP="00334269">
      <w:pPr>
        <w:pStyle w:val="BodyText"/>
        <w:ind w:left="0"/>
        <w:rPr>
          <w:lang w:val="en-GB"/>
        </w:rPr>
      </w:pPr>
      <w:r>
        <w:rPr>
          <w:lang w:val="en-GB"/>
        </w:rPr>
        <w:t>The real estate company will fund the project by seeking to minimize the equity investment. Based on such consideration, w</w:t>
      </w:r>
      <w:r w:rsidR="00EC08B3">
        <w:rPr>
          <w:lang w:val="en-GB"/>
        </w:rPr>
        <w:t>hich solution would you suggest?</w:t>
      </w:r>
    </w:p>
    <w:p w14:paraId="2BB2C290" w14:textId="1D572B67" w:rsidR="00EC08B3" w:rsidRDefault="00EC08B3" w:rsidP="00334269">
      <w:pPr>
        <w:pStyle w:val="BodyText"/>
        <w:ind w:left="0"/>
        <w:rPr>
          <w:lang w:val="en-GB"/>
        </w:rPr>
      </w:pPr>
      <w:r>
        <w:rPr>
          <w:lang w:val="en-GB"/>
        </w:rPr>
        <w:t>Please consider the following information:</w:t>
      </w:r>
    </w:p>
    <w:p w14:paraId="10E12DC1" w14:textId="77777777" w:rsidR="00334269" w:rsidRDefault="00334269" w:rsidP="00334269">
      <w:pPr>
        <w:pStyle w:val="BodyText"/>
        <w:numPr>
          <w:ilvl w:val="0"/>
          <w:numId w:val="33"/>
        </w:numPr>
        <w:ind w:left="0"/>
        <w:rPr>
          <w:lang w:val="en-GB"/>
        </w:rPr>
        <w:sectPr w:rsidR="00334269" w:rsidSect="006123D1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84" w:right="1620" w:bottom="360" w:left="1260" w:header="302" w:footer="184" w:gutter="0"/>
          <w:pgNumType w:start="1"/>
          <w:cols w:space="720"/>
          <w:titlePg/>
          <w:docGrid w:linePitch="360"/>
        </w:sectPr>
      </w:pPr>
    </w:p>
    <w:p w14:paraId="14ABC953" w14:textId="668B8103" w:rsidR="00EC08B3" w:rsidRDefault="00EC08B3" w:rsidP="00821662">
      <w:pPr>
        <w:pStyle w:val="BodyText"/>
        <w:ind w:left="0"/>
        <w:rPr>
          <w:lang w:val="en-GB"/>
        </w:rPr>
      </w:pPr>
      <w:r>
        <w:rPr>
          <w:lang w:val="en-GB"/>
        </w:rPr>
        <w:t>Free risk rate 2%</w:t>
      </w:r>
    </w:p>
    <w:p w14:paraId="70F36394" w14:textId="77777777" w:rsidR="00334269" w:rsidRDefault="00EC08B3" w:rsidP="00821662">
      <w:pPr>
        <w:pStyle w:val="BodyText"/>
        <w:ind w:left="0"/>
        <w:rPr>
          <w:lang w:val="en-GB"/>
        </w:rPr>
      </w:pPr>
      <w:r>
        <w:rPr>
          <w:lang w:val="en-GB"/>
        </w:rPr>
        <w:t>Market beta 1.5</w:t>
      </w:r>
    </w:p>
    <w:p w14:paraId="6C2785D5" w14:textId="77777777" w:rsidR="00334269" w:rsidRDefault="008E5DC8" w:rsidP="00821662">
      <w:pPr>
        <w:pStyle w:val="BodyText"/>
        <w:ind w:left="-360"/>
        <w:rPr>
          <w:lang w:val="en-GB"/>
        </w:rPr>
      </w:pPr>
      <w:r w:rsidRPr="00334269">
        <w:rPr>
          <w:lang w:val="en-GB"/>
        </w:rPr>
        <w:t>Market risk premium 8</w:t>
      </w:r>
      <w:r w:rsidR="00EC08B3" w:rsidRPr="00334269">
        <w:rPr>
          <w:lang w:val="en-GB"/>
        </w:rPr>
        <w:t>%</w:t>
      </w:r>
    </w:p>
    <w:p w14:paraId="7E187997" w14:textId="4346329E" w:rsidR="00EC08B3" w:rsidRPr="00334269" w:rsidRDefault="00EC08B3" w:rsidP="00821662">
      <w:pPr>
        <w:pStyle w:val="BodyText"/>
        <w:ind w:left="-360"/>
        <w:rPr>
          <w:lang w:val="en-GB"/>
        </w:rPr>
      </w:pPr>
      <w:r w:rsidRPr="00334269">
        <w:rPr>
          <w:lang w:val="en-GB"/>
        </w:rPr>
        <w:t xml:space="preserve">Cost of Equity </w:t>
      </w:r>
      <w:r w:rsidR="008E5DC8" w:rsidRPr="00334269">
        <w:rPr>
          <w:lang w:val="en-GB"/>
        </w:rPr>
        <w:t>14%</w:t>
      </w:r>
    </w:p>
    <w:p w14:paraId="04673D55" w14:textId="50BBF24F" w:rsidR="008E5DC8" w:rsidRDefault="008E5DC8" w:rsidP="00821662">
      <w:pPr>
        <w:pStyle w:val="BodyText"/>
        <w:ind w:left="-360"/>
        <w:rPr>
          <w:lang w:val="en-GB"/>
        </w:rPr>
      </w:pPr>
      <w:r>
        <w:rPr>
          <w:lang w:val="en-GB"/>
        </w:rPr>
        <w:t>Cost of debt 8%</w:t>
      </w:r>
    </w:p>
    <w:p w14:paraId="392C472A" w14:textId="0ECB7AD2" w:rsidR="00334269" w:rsidRPr="00821662" w:rsidRDefault="008E5DC8" w:rsidP="00821662">
      <w:pPr>
        <w:pStyle w:val="BodyText"/>
        <w:ind w:left="-360"/>
        <w:rPr>
          <w:lang w:val="en-GB"/>
        </w:rPr>
        <w:sectPr w:rsidR="00334269" w:rsidRPr="00821662" w:rsidSect="00821662">
          <w:type w:val="continuous"/>
          <w:pgSz w:w="12240" w:h="15840"/>
          <w:pgMar w:top="284" w:right="1620" w:bottom="360" w:left="1260" w:header="302" w:footer="184" w:gutter="0"/>
          <w:pgNumType w:start="1"/>
          <w:cols w:num="3" w:space="720"/>
          <w:titlePg/>
          <w:docGrid w:linePitch="360"/>
        </w:sectPr>
      </w:pPr>
      <w:r>
        <w:rPr>
          <w:lang w:val="en-GB"/>
        </w:rPr>
        <w:t>Non-deductible interest</w:t>
      </w:r>
      <w:r w:rsidR="00821662">
        <w:rPr>
          <w:lang w:val="en-GB"/>
        </w:rPr>
        <w:t>, no inflation</w:t>
      </w:r>
    </w:p>
    <w:p w14:paraId="0F2B4582" w14:textId="29A4FA8A" w:rsidR="00AC3A55" w:rsidRDefault="008E5DC8" w:rsidP="00334269">
      <w:pPr>
        <w:pStyle w:val="BodyText"/>
        <w:ind w:left="0"/>
        <w:rPr>
          <w:lang w:val="en-GB"/>
        </w:rPr>
      </w:pPr>
      <w:r>
        <w:rPr>
          <w:lang w:val="en-GB"/>
        </w:rPr>
        <w:t>Feel free to make any additional assumption you may need.</w:t>
      </w:r>
    </w:p>
    <w:p w14:paraId="6E34BF07" w14:textId="17E949AC" w:rsidR="003535D0" w:rsidRPr="00A765DD" w:rsidRDefault="00D50333" w:rsidP="00334269">
      <w:pPr>
        <w:pStyle w:val="Heading1"/>
      </w:pPr>
      <w:r>
        <w:t>Estimate at completion</w:t>
      </w:r>
      <w:r w:rsidR="003535D0">
        <w:t xml:space="preserve"> (</w:t>
      </w:r>
      <w:r w:rsidR="005C0AD2">
        <w:t>8</w:t>
      </w:r>
      <w:r w:rsidR="003535D0">
        <w:t xml:space="preserve"> points)</w:t>
      </w:r>
    </w:p>
    <w:p w14:paraId="7A14D69F" w14:textId="56D133D2" w:rsidR="00D50333" w:rsidRDefault="00B05247" w:rsidP="00334269">
      <w:pPr>
        <w:pStyle w:val="BodyText"/>
        <w:ind w:left="0"/>
        <w:rPr>
          <w:lang w:val="en-GB"/>
        </w:rPr>
      </w:pPr>
      <w:r>
        <w:rPr>
          <w:lang w:val="en-GB"/>
        </w:rPr>
        <w:t xml:space="preserve">Consider </w:t>
      </w:r>
      <w:r w:rsidR="000F28A1">
        <w:rPr>
          <w:lang w:val="en-GB"/>
        </w:rPr>
        <w:t xml:space="preserve">a pharmaceutical </w:t>
      </w:r>
      <w:r>
        <w:rPr>
          <w:lang w:val="en-GB"/>
        </w:rPr>
        <w:t>project to develop</w:t>
      </w:r>
      <w:r w:rsidR="000F28A1">
        <w:rPr>
          <w:lang w:val="en-GB"/>
        </w:rPr>
        <w:t xml:space="preserve"> and launch</w:t>
      </w:r>
      <w:r>
        <w:rPr>
          <w:lang w:val="en-GB"/>
        </w:rPr>
        <w:t xml:space="preserve"> a </w:t>
      </w:r>
      <w:r w:rsidR="000F28A1">
        <w:rPr>
          <w:lang w:val="en-GB"/>
        </w:rPr>
        <w:t>new drug compound by end of current year 2015. The EV report as per Dec 31</w:t>
      </w:r>
      <w:r w:rsidR="000F28A1" w:rsidRPr="000F28A1">
        <w:rPr>
          <w:vertAlign w:val="superscript"/>
          <w:lang w:val="en-GB"/>
        </w:rPr>
        <w:t>st</w:t>
      </w:r>
      <w:r w:rsidR="000F28A1">
        <w:rPr>
          <w:lang w:val="en-GB"/>
        </w:rPr>
        <w:t>, 2014 is given in the chart below</w:t>
      </w:r>
      <w:r w:rsidR="001B46BC">
        <w:rPr>
          <w:lang w:val="en-GB"/>
        </w:rPr>
        <w:t xml:space="preserve"> with figures expressed in $</w:t>
      </w:r>
      <w:r w:rsidR="009632D2">
        <w:rPr>
          <w:lang w:val="en-GB"/>
        </w:rPr>
        <w:t xml:space="preserve"> amounts</w:t>
      </w:r>
      <w:r w:rsidR="000F28A1">
        <w:rPr>
          <w:lang w:val="en-GB"/>
        </w:rPr>
        <w:t>. Since it is imperative that the commercial launch is not delayed, y</w:t>
      </w:r>
      <w:r w:rsidR="00D50333">
        <w:rPr>
          <w:lang w:val="en-GB"/>
        </w:rPr>
        <w:t xml:space="preserve">our boss </w:t>
      </w:r>
      <w:r w:rsidR="000F28A1">
        <w:rPr>
          <w:lang w:val="en-GB"/>
        </w:rPr>
        <w:t xml:space="preserve">has just </w:t>
      </w:r>
      <w:r w:rsidR="00D50333">
        <w:rPr>
          <w:lang w:val="en-GB"/>
        </w:rPr>
        <w:t xml:space="preserve">asked you to compute the </w:t>
      </w:r>
      <w:r w:rsidR="000F28A1">
        <w:rPr>
          <w:lang w:val="en-GB"/>
        </w:rPr>
        <w:t>range of</w:t>
      </w:r>
      <w:r w:rsidR="00D50333">
        <w:rPr>
          <w:lang w:val="en-GB"/>
        </w:rPr>
        <w:t xml:space="preserve"> </w:t>
      </w:r>
      <w:r w:rsidR="00B41554">
        <w:rPr>
          <w:lang w:val="en-GB"/>
        </w:rPr>
        <w:t xml:space="preserve">cost </w:t>
      </w:r>
      <w:r w:rsidR="00D50333">
        <w:rPr>
          <w:lang w:val="en-GB"/>
        </w:rPr>
        <w:t>estimates</w:t>
      </w:r>
      <w:r w:rsidR="000F28A1">
        <w:rPr>
          <w:lang w:val="en-GB"/>
        </w:rPr>
        <w:t xml:space="preserve"> at completion that would make the project finish on time</w:t>
      </w:r>
      <w:r w:rsidR="00D50333">
        <w:rPr>
          <w:lang w:val="en-GB"/>
        </w:rPr>
        <w:t>.</w:t>
      </w:r>
      <w:r w:rsidR="00334269">
        <w:rPr>
          <w:lang w:val="en-GB"/>
        </w:rPr>
        <w:t xml:space="preserve"> </w:t>
      </w:r>
      <w:r w:rsidR="000F28A1">
        <w:rPr>
          <w:lang w:val="en-GB"/>
        </w:rPr>
        <w:t>What would you answer?</w:t>
      </w:r>
    </w:p>
    <w:tbl>
      <w:tblPr>
        <w:tblW w:w="8365" w:type="dxa"/>
        <w:tblInd w:w="4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227"/>
        <w:gridCol w:w="1228"/>
        <w:gridCol w:w="1227"/>
        <w:gridCol w:w="1228"/>
        <w:gridCol w:w="1227"/>
        <w:gridCol w:w="1228"/>
      </w:tblGrid>
      <w:tr w:rsidR="000F28A1" w:rsidRPr="00055708" w14:paraId="0C624C01" w14:textId="77777777" w:rsidTr="00334269">
        <w:trPr>
          <w:trHeight w:val="301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91AB" w14:textId="77777777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 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C884" w14:textId="15B7BD68" w:rsidR="000F28A1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Sem</w:t>
            </w:r>
            <w:r w:rsidR="001B46BC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ester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 xml:space="preserve"> 1,</w:t>
            </w:r>
          </w:p>
          <w:p w14:paraId="553302FE" w14:textId="62E7201F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2013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BB1E" w14:textId="35AE1F7A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Sem 2, 2013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2D82" w14:textId="77777777" w:rsidR="000F28A1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Sem 1,</w:t>
            </w:r>
          </w:p>
          <w:p w14:paraId="1A453682" w14:textId="751DD65C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2014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CD13" w14:textId="1F93658B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Sem 2, 2014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C703" w14:textId="77777777" w:rsidR="000F28A1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Sem 1,</w:t>
            </w:r>
          </w:p>
          <w:p w14:paraId="3FF0466B" w14:textId="6B3A6E05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2015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3BBA" w14:textId="5A810ABD" w:rsidR="000F28A1" w:rsidRPr="00055708" w:rsidRDefault="000F28A1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Sem 2, 2015</w:t>
            </w:r>
          </w:p>
        </w:tc>
      </w:tr>
      <w:tr w:rsidR="00D50333" w:rsidRPr="00055708" w14:paraId="17E34205" w14:textId="77777777" w:rsidTr="00334269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788A" w14:textId="54FFD1BB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061F" w14:textId="065B78B4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B1BE" w14:textId="7E32538D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C81A" w14:textId="6BBC30F8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4D82" w14:textId="2DAF97E6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59AE" w14:textId="44632B7F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3FF3" w14:textId="2B8871EB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</w:tr>
      <w:tr w:rsidR="00D50333" w:rsidRPr="00055708" w14:paraId="029BEFB7" w14:textId="77777777" w:rsidTr="00334269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6D25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BCWS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E82D" w14:textId="74EAB158" w:rsidR="00D50333" w:rsidRPr="00055708" w:rsidRDefault="00982F9C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190,</w:t>
            </w:r>
            <w:r w:rsidR="00D50333"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E7FC" w14:textId="6AA2827D" w:rsidR="00D50333" w:rsidRPr="00055708" w:rsidRDefault="00982F9C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196,</w:t>
            </w:r>
            <w:r w:rsidR="00D50333"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55AA" w14:textId="7774E99F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300</w:t>
            </w:r>
            <w:r w:rsidR="00982F9C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0732" w14:textId="5B336E66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400</w:t>
            </w:r>
            <w:r w:rsidR="00982F9C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9B1A0" w14:textId="5F1F1FC9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350</w:t>
            </w:r>
            <w:r w:rsidR="00982F9C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02444" w14:textId="27C9379E" w:rsidR="00D50333" w:rsidRPr="00055708" w:rsidRDefault="00982F9C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</w:t>
            </w:r>
            <w:r w:rsidR="00D50333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60</w:t>
            </w: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="00D50333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</w:tr>
      <w:tr w:rsidR="00D50333" w:rsidRPr="00055708" w14:paraId="27BB3529" w14:textId="77777777" w:rsidTr="00334269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FCFF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ACWP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A159" w14:textId="04925328" w:rsidR="00D50333" w:rsidRPr="00055708" w:rsidRDefault="00982F9C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190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="00D50333"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B496" w14:textId="7C8CEAFD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220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D602" w14:textId="451FD45C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290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B369" w14:textId="7122AF5A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480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4B530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7B798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</w:tr>
      <w:tr w:rsidR="00D50333" w:rsidRPr="00055708" w14:paraId="42918BDE" w14:textId="77777777" w:rsidTr="00334269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31F2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BCWP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F8C4" w14:textId="69328107" w:rsidR="00D50333" w:rsidRPr="00055708" w:rsidRDefault="00982F9C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176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="00D50333"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79A" w14:textId="02F76D8E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180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B4F6" w14:textId="5F3803D2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185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2F4A" w14:textId="5AADF90B" w:rsidR="00D50333" w:rsidRPr="00055708" w:rsidRDefault="00982F9C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495</w:t>
            </w:r>
            <w:r w:rsidR="00D36086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,</w:t>
            </w:r>
            <w:r w:rsidR="00D50333" w:rsidRPr="00055708"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  <w:t>000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3EF58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1C50D" w14:textId="77777777" w:rsidR="00D50333" w:rsidRPr="00055708" w:rsidRDefault="00D50333" w:rsidP="00334269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t-IT" w:eastAsia="it-IT"/>
              </w:rPr>
            </w:pPr>
          </w:p>
        </w:tc>
      </w:tr>
    </w:tbl>
    <w:p w14:paraId="733ADB80" w14:textId="1B6BBC80" w:rsidR="00E114B5" w:rsidRDefault="00E114B5" w:rsidP="000F3B2F">
      <w:pPr>
        <w:pStyle w:val="BodyText"/>
        <w:spacing w:before="0" w:after="0"/>
      </w:pPr>
    </w:p>
    <w:sectPr w:rsidR="00E114B5" w:rsidSect="00334269">
      <w:type w:val="continuous"/>
      <w:pgSz w:w="12240" w:h="15840"/>
      <w:pgMar w:top="284" w:right="1620" w:bottom="360" w:left="1260" w:header="302" w:footer="18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E94F7" w14:textId="77777777" w:rsidR="004A5157" w:rsidRDefault="004A5157">
      <w:r>
        <w:separator/>
      </w:r>
    </w:p>
  </w:endnote>
  <w:endnote w:type="continuationSeparator" w:id="0">
    <w:p w14:paraId="48C987F4" w14:textId="77777777" w:rsidR="004A5157" w:rsidRDefault="004A5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F886D" w14:textId="77777777" w:rsidR="006123D1" w:rsidRDefault="006123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A17ABC" w14:textId="77777777" w:rsidR="006123D1" w:rsidRDefault="006123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9B7C3" w14:textId="77777777" w:rsidR="006123D1" w:rsidRPr="002125FF" w:rsidRDefault="006123D1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821662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88935" w14:textId="77777777" w:rsidR="006123D1" w:rsidRPr="00187B4F" w:rsidRDefault="006123D1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821662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51B3B" w14:textId="77777777" w:rsidR="004A5157" w:rsidRDefault="004A5157">
      <w:r>
        <w:separator/>
      </w:r>
    </w:p>
  </w:footnote>
  <w:footnote w:type="continuationSeparator" w:id="0">
    <w:p w14:paraId="66D5DFB6" w14:textId="77777777" w:rsidR="004A5157" w:rsidRDefault="004A5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528"/>
      <w:gridCol w:w="2856"/>
      <w:gridCol w:w="3192"/>
    </w:tblGrid>
    <w:tr w:rsidR="006123D1" w14:paraId="5985770C" w14:textId="77777777">
      <w:tc>
        <w:tcPr>
          <w:tcW w:w="3528" w:type="dxa"/>
        </w:tcPr>
        <w:p w14:paraId="1E3F2488" w14:textId="77777777" w:rsidR="006123D1" w:rsidRDefault="006123D1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77694ABF" w14:textId="77777777" w:rsidR="006123D1" w:rsidRDefault="006123D1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1D657D52" w14:textId="77777777" w:rsidR="006123D1" w:rsidRDefault="006123D1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7034F367" w14:textId="77777777" w:rsidR="006123D1" w:rsidRDefault="006123D1">
    <w:pPr>
      <w:pStyle w:val="Header"/>
      <w:rPr>
        <w:sz w:val="20"/>
      </w:rPr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99EBB" w14:textId="3F8D5459" w:rsidR="006123D1" w:rsidRPr="00FE57FD" w:rsidRDefault="006123D1" w:rsidP="00B96787">
    <w:pPr>
      <w:pStyle w:val="Subtitle"/>
      <w:rPr>
        <w:sz w:val="18"/>
        <w:szCs w:val="18"/>
      </w:rPr>
    </w:pPr>
    <w:r w:rsidRPr="00FE57FD">
      <w:rPr>
        <w:sz w:val="18"/>
        <w:szCs w:val="18"/>
      </w:rPr>
      <w:t>Politecnico di Torino - M.Sc. Engineering &amp; Management</w:t>
    </w:r>
  </w:p>
  <w:p w14:paraId="276B2E66" w14:textId="77777777" w:rsidR="006123D1" w:rsidRDefault="006123D1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Course</w:t>
    </w:r>
    <w:r>
      <w:rPr>
        <w:sz w:val="18"/>
        <w:szCs w:val="18"/>
        <w:lang w:val="en-GB"/>
      </w:rPr>
      <w:t>- Instructor: Alberto De Marco</w:t>
    </w:r>
  </w:p>
  <w:p w14:paraId="55DFB6F3" w14:textId="77777777" w:rsidR="006123D1" w:rsidRDefault="006123D1" w:rsidP="00953A50">
    <w:pPr>
      <w:pStyle w:val="Subtitle"/>
      <w:rPr>
        <w:sz w:val="18"/>
        <w:szCs w:val="18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 w15:restartNumberingAfterBreak="0">
    <w:nsid w:val="05B50E70"/>
    <w:multiLevelType w:val="hybridMultilevel"/>
    <w:tmpl w:val="1ABE4940"/>
    <w:lvl w:ilvl="0" w:tplc="301276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3" w15:restartNumberingAfterBreak="0">
    <w:nsid w:val="0D23316B"/>
    <w:multiLevelType w:val="hybridMultilevel"/>
    <w:tmpl w:val="F8C663B2"/>
    <w:lvl w:ilvl="0" w:tplc="4F10763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5" w15:restartNumberingAfterBreak="0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D06CF2"/>
    <w:multiLevelType w:val="hybridMultilevel"/>
    <w:tmpl w:val="479A582C"/>
    <w:lvl w:ilvl="0" w:tplc="CA04AFFE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883DE7"/>
    <w:multiLevelType w:val="hybridMultilevel"/>
    <w:tmpl w:val="04CA25F2"/>
    <w:lvl w:ilvl="0" w:tplc="35BCE1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1D1BB4"/>
    <w:multiLevelType w:val="hybridMultilevel"/>
    <w:tmpl w:val="3C0A9BBC"/>
    <w:lvl w:ilvl="0" w:tplc="1974D640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783349"/>
    <w:multiLevelType w:val="hybridMultilevel"/>
    <w:tmpl w:val="43CE95F2"/>
    <w:lvl w:ilvl="0" w:tplc="FB3CF882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9" w15:restartNumberingAfterBreak="0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0" w15:restartNumberingAfterBreak="0">
    <w:nsid w:val="69B7698D"/>
    <w:multiLevelType w:val="hybridMultilevel"/>
    <w:tmpl w:val="633C5DC0"/>
    <w:lvl w:ilvl="0" w:tplc="AC48E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6" w15:restartNumberingAfterBreak="0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0D2886"/>
    <w:multiLevelType w:val="hybridMultilevel"/>
    <w:tmpl w:val="8EF4A01E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10"/>
  </w:num>
  <w:num w:numId="4">
    <w:abstractNumId w:val="23"/>
  </w:num>
  <w:num w:numId="5">
    <w:abstractNumId w:val="5"/>
  </w:num>
  <w:num w:numId="6">
    <w:abstractNumId w:val="18"/>
  </w:num>
  <w:num w:numId="7">
    <w:abstractNumId w:val="24"/>
  </w:num>
  <w:num w:numId="8">
    <w:abstractNumId w:val="0"/>
  </w:num>
  <w:num w:numId="9">
    <w:abstractNumId w:val="4"/>
  </w:num>
  <w:num w:numId="10">
    <w:abstractNumId w:val="19"/>
  </w:num>
  <w:num w:numId="11">
    <w:abstractNumId w:val="25"/>
  </w:num>
  <w:num w:numId="12">
    <w:abstractNumId w:val="11"/>
  </w:num>
  <w:num w:numId="13">
    <w:abstractNumId w:val="27"/>
  </w:num>
  <w:num w:numId="14">
    <w:abstractNumId w:val="17"/>
  </w:num>
  <w:num w:numId="15">
    <w:abstractNumId w:val="13"/>
  </w:num>
  <w:num w:numId="16">
    <w:abstractNumId w:val="2"/>
  </w:num>
  <w:num w:numId="17">
    <w:abstractNumId w:val="7"/>
  </w:num>
  <w:num w:numId="18">
    <w:abstractNumId w:val="14"/>
  </w:num>
  <w:num w:numId="19">
    <w:abstractNumId w:val="8"/>
  </w:num>
  <w:num w:numId="20">
    <w:abstractNumId w:val="22"/>
  </w:num>
  <w:num w:numId="21">
    <w:abstractNumId w:val="21"/>
  </w:num>
  <w:num w:numId="22">
    <w:abstractNumId w:val="12"/>
  </w:num>
  <w:num w:numId="23">
    <w:abstractNumId w:val="13"/>
  </w:num>
  <w:num w:numId="24">
    <w:abstractNumId w:val="13"/>
  </w:num>
  <w:num w:numId="25">
    <w:abstractNumId w:val="6"/>
  </w:num>
  <w:num w:numId="26">
    <w:abstractNumId w:val="20"/>
  </w:num>
  <w:num w:numId="27">
    <w:abstractNumId w:val="3"/>
  </w:num>
  <w:num w:numId="28">
    <w:abstractNumId w:val="16"/>
  </w:num>
  <w:num w:numId="29">
    <w:abstractNumId w:val="28"/>
  </w:num>
  <w:num w:numId="30">
    <w:abstractNumId w:val="13"/>
    <w:lvlOverride w:ilvl="0">
      <w:startOverride w:val="1"/>
    </w:lvlOverride>
  </w:num>
  <w:num w:numId="31">
    <w:abstractNumId w:val="13"/>
  </w:num>
  <w:num w:numId="32">
    <w:abstractNumId w:val="1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C9"/>
    <w:rsid w:val="0000396D"/>
    <w:rsid w:val="0000717E"/>
    <w:rsid w:val="000179C8"/>
    <w:rsid w:val="00033D5B"/>
    <w:rsid w:val="00042F31"/>
    <w:rsid w:val="00052E9C"/>
    <w:rsid w:val="000613E9"/>
    <w:rsid w:val="0006427F"/>
    <w:rsid w:val="0007478A"/>
    <w:rsid w:val="000816DA"/>
    <w:rsid w:val="00091654"/>
    <w:rsid w:val="000A1666"/>
    <w:rsid w:val="000A1FF9"/>
    <w:rsid w:val="000A6CBD"/>
    <w:rsid w:val="000B08CC"/>
    <w:rsid w:val="000E4124"/>
    <w:rsid w:val="000F28A1"/>
    <w:rsid w:val="000F3B2F"/>
    <w:rsid w:val="000F6EC9"/>
    <w:rsid w:val="0010076C"/>
    <w:rsid w:val="0010316E"/>
    <w:rsid w:val="00103EB0"/>
    <w:rsid w:val="0010616A"/>
    <w:rsid w:val="00114CED"/>
    <w:rsid w:val="0011757B"/>
    <w:rsid w:val="00127B16"/>
    <w:rsid w:val="00130535"/>
    <w:rsid w:val="00145C3A"/>
    <w:rsid w:val="001624F6"/>
    <w:rsid w:val="00174C58"/>
    <w:rsid w:val="00177830"/>
    <w:rsid w:val="00187B4F"/>
    <w:rsid w:val="001973BE"/>
    <w:rsid w:val="001A0E13"/>
    <w:rsid w:val="001B1345"/>
    <w:rsid w:val="001B46BC"/>
    <w:rsid w:val="001C2BF8"/>
    <w:rsid w:val="001C4A21"/>
    <w:rsid w:val="001C749E"/>
    <w:rsid w:val="001C7F51"/>
    <w:rsid w:val="001D319D"/>
    <w:rsid w:val="001D5620"/>
    <w:rsid w:val="001E07E4"/>
    <w:rsid w:val="001E0D73"/>
    <w:rsid w:val="001E30C1"/>
    <w:rsid w:val="002014BB"/>
    <w:rsid w:val="00202DCD"/>
    <w:rsid w:val="00206300"/>
    <w:rsid w:val="002125FF"/>
    <w:rsid w:val="00233909"/>
    <w:rsid w:val="0023391A"/>
    <w:rsid w:val="00254D43"/>
    <w:rsid w:val="00267647"/>
    <w:rsid w:val="002677B1"/>
    <w:rsid w:val="0027230E"/>
    <w:rsid w:val="0027666B"/>
    <w:rsid w:val="00293E4F"/>
    <w:rsid w:val="002A1322"/>
    <w:rsid w:val="002B29B5"/>
    <w:rsid w:val="002B6654"/>
    <w:rsid w:val="002C19E6"/>
    <w:rsid w:val="002C3BD6"/>
    <w:rsid w:val="002D08D5"/>
    <w:rsid w:val="002D55BF"/>
    <w:rsid w:val="002D5B93"/>
    <w:rsid w:val="002F4F60"/>
    <w:rsid w:val="002F7BF4"/>
    <w:rsid w:val="00302CCF"/>
    <w:rsid w:val="003215E8"/>
    <w:rsid w:val="00334269"/>
    <w:rsid w:val="00337E8C"/>
    <w:rsid w:val="003535D0"/>
    <w:rsid w:val="00364D6D"/>
    <w:rsid w:val="00367FF5"/>
    <w:rsid w:val="00371186"/>
    <w:rsid w:val="00374846"/>
    <w:rsid w:val="00376627"/>
    <w:rsid w:val="003777B8"/>
    <w:rsid w:val="003878AA"/>
    <w:rsid w:val="00390A10"/>
    <w:rsid w:val="0039128F"/>
    <w:rsid w:val="003A7B49"/>
    <w:rsid w:val="003B65FD"/>
    <w:rsid w:val="003B7A7F"/>
    <w:rsid w:val="003C638C"/>
    <w:rsid w:val="003D2900"/>
    <w:rsid w:val="003E6B74"/>
    <w:rsid w:val="003F7ACD"/>
    <w:rsid w:val="00426D49"/>
    <w:rsid w:val="00431BB8"/>
    <w:rsid w:val="0043798A"/>
    <w:rsid w:val="00442209"/>
    <w:rsid w:val="00477F69"/>
    <w:rsid w:val="004832FF"/>
    <w:rsid w:val="00485F19"/>
    <w:rsid w:val="00490AAE"/>
    <w:rsid w:val="00490BF4"/>
    <w:rsid w:val="00495C0A"/>
    <w:rsid w:val="004A5157"/>
    <w:rsid w:val="004B6910"/>
    <w:rsid w:val="004B707E"/>
    <w:rsid w:val="004C2D6C"/>
    <w:rsid w:val="004F3498"/>
    <w:rsid w:val="00502285"/>
    <w:rsid w:val="0050535E"/>
    <w:rsid w:val="0051679A"/>
    <w:rsid w:val="00522358"/>
    <w:rsid w:val="0054393F"/>
    <w:rsid w:val="00555626"/>
    <w:rsid w:val="00581B42"/>
    <w:rsid w:val="0059547D"/>
    <w:rsid w:val="005A3434"/>
    <w:rsid w:val="005B5775"/>
    <w:rsid w:val="005C0AD2"/>
    <w:rsid w:val="005C4430"/>
    <w:rsid w:val="006123D1"/>
    <w:rsid w:val="0061384F"/>
    <w:rsid w:val="00613DF5"/>
    <w:rsid w:val="00623837"/>
    <w:rsid w:val="00651D5C"/>
    <w:rsid w:val="00656DBA"/>
    <w:rsid w:val="006602C3"/>
    <w:rsid w:val="00686D90"/>
    <w:rsid w:val="00687BE7"/>
    <w:rsid w:val="0069522F"/>
    <w:rsid w:val="006A1CB8"/>
    <w:rsid w:val="006F579B"/>
    <w:rsid w:val="007032CE"/>
    <w:rsid w:val="00707632"/>
    <w:rsid w:val="0072595C"/>
    <w:rsid w:val="0072654F"/>
    <w:rsid w:val="00742050"/>
    <w:rsid w:val="00743F7A"/>
    <w:rsid w:val="00755274"/>
    <w:rsid w:val="00772FCD"/>
    <w:rsid w:val="007818B8"/>
    <w:rsid w:val="00792946"/>
    <w:rsid w:val="0079395B"/>
    <w:rsid w:val="00794153"/>
    <w:rsid w:val="007A4752"/>
    <w:rsid w:val="007B3C0A"/>
    <w:rsid w:val="007B5994"/>
    <w:rsid w:val="007B7F27"/>
    <w:rsid w:val="007C2851"/>
    <w:rsid w:val="007C2E61"/>
    <w:rsid w:val="007E0A7B"/>
    <w:rsid w:val="007F0402"/>
    <w:rsid w:val="007F32C7"/>
    <w:rsid w:val="00806194"/>
    <w:rsid w:val="00821662"/>
    <w:rsid w:val="00826622"/>
    <w:rsid w:val="008408CE"/>
    <w:rsid w:val="00851BDC"/>
    <w:rsid w:val="00855C90"/>
    <w:rsid w:val="0086081C"/>
    <w:rsid w:val="00883B93"/>
    <w:rsid w:val="00885FA4"/>
    <w:rsid w:val="008B54A8"/>
    <w:rsid w:val="008E3DA1"/>
    <w:rsid w:val="008E5DC8"/>
    <w:rsid w:val="00925AAD"/>
    <w:rsid w:val="00930A2C"/>
    <w:rsid w:val="00953A50"/>
    <w:rsid w:val="009546C9"/>
    <w:rsid w:val="00956895"/>
    <w:rsid w:val="009632D2"/>
    <w:rsid w:val="009633B1"/>
    <w:rsid w:val="009763DE"/>
    <w:rsid w:val="00982F9C"/>
    <w:rsid w:val="0098369E"/>
    <w:rsid w:val="0098564F"/>
    <w:rsid w:val="0099746E"/>
    <w:rsid w:val="009B1B7A"/>
    <w:rsid w:val="009B23C6"/>
    <w:rsid w:val="009C0BBD"/>
    <w:rsid w:val="009C4743"/>
    <w:rsid w:val="009D1872"/>
    <w:rsid w:val="009D302E"/>
    <w:rsid w:val="009E5DDA"/>
    <w:rsid w:val="009F7959"/>
    <w:rsid w:val="00A00A84"/>
    <w:rsid w:val="00A03514"/>
    <w:rsid w:val="00A120BF"/>
    <w:rsid w:val="00A13726"/>
    <w:rsid w:val="00A17F31"/>
    <w:rsid w:val="00A2716E"/>
    <w:rsid w:val="00A2736D"/>
    <w:rsid w:val="00A35055"/>
    <w:rsid w:val="00A364F0"/>
    <w:rsid w:val="00A765DD"/>
    <w:rsid w:val="00A90F4C"/>
    <w:rsid w:val="00A94601"/>
    <w:rsid w:val="00AA05D2"/>
    <w:rsid w:val="00AB0EFA"/>
    <w:rsid w:val="00AB1A29"/>
    <w:rsid w:val="00AC3A55"/>
    <w:rsid w:val="00AC790B"/>
    <w:rsid w:val="00AD6F0F"/>
    <w:rsid w:val="00AE7D23"/>
    <w:rsid w:val="00B05247"/>
    <w:rsid w:val="00B20003"/>
    <w:rsid w:val="00B41554"/>
    <w:rsid w:val="00B43F94"/>
    <w:rsid w:val="00B63197"/>
    <w:rsid w:val="00B80962"/>
    <w:rsid w:val="00B95590"/>
    <w:rsid w:val="00B96787"/>
    <w:rsid w:val="00BE26E7"/>
    <w:rsid w:val="00BF1B91"/>
    <w:rsid w:val="00BF5C14"/>
    <w:rsid w:val="00C00EA5"/>
    <w:rsid w:val="00C0110C"/>
    <w:rsid w:val="00C0548E"/>
    <w:rsid w:val="00C160B5"/>
    <w:rsid w:val="00C17165"/>
    <w:rsid w:val="00C30E30"/>
    <w:rsid w:val="00C539FA"/>
    <w:rsid w:val="00C76D4C"/>
    <w:rsid w:val="00C77AB5"/>
    <w:rsid w:val="00C82625"/>
    <w:rsid w:val="00C82E67"/>
    <w:rsid w:val="00C95B0B"/>
    <w:rsid w:val="00CA6547"/>
    <w:rsid w:val="00CB42C4"/>
    <w:rsid w:val="00CC0EA1"/>
    <w:rsid w:val="00CC12CC"/>
    <w:rsid w:val="00CC245E"/>
    <w:rsid w:val="00CE479D"/>
    <w:rsid w:val="00CF2D4C"/>
    <w:rsid w:val="00D008E9"/>
    <w:rsid w:val="00D03924"/>
    <w:rsid w:val="00D056FF"/>
    <w:rsid w:val="00D12DA2"/>
    <w:rsid w:val="00D20372"/>
    <w:rsid w:val="00D21B7F"/>
    <w:rsid w:val="00D23A1E"/>
    <w:rsid w:val="00D35ABD"/>
    <w:rsid w:val="00D36086"/>
    <w:rsid w:val="00D417BB"/>
    <w:rsid w:val="00D50333"/>
    <w:rsid w:val="00D74381"/>
    <w:rsid w:val="00D93405"/>
    <w:rsid w:val="00D950A0"/>
    <w:rsid w:val="00DA6582"/>
    <w:rsid w:val="00DB0F29"/>
    <w:rsid w:val="00DC08B7"/>
    <w:rsid w:val="00DE1FAD"/>
    <w:rsid w:val="00DE2F09"/>
    <w:rsid w:val="00DE3BE0"/>
    <w:rsid w:val="00DE7DBE"/>
    <w:rsid w:val="00DF161B"/>
    <w:rsid w:val="00E114B5"/>
    <w:rsid w:val="00E365DD"/>
    <w:rsid w:val="00E379CF"/>
    <w:rsid w:val="00E46657"/>
    <w:rsid w:val="00E879B2"/>
    <w:rsid w:val="00E90D51"/>
    <w:rsid w:val="00E975AC"/>
    <w:rsid w:val="00EC08B3"/>
    <w:rsid w:val="00ED2B7E"/>
    <w:rsid w:val="00ED4F61"/>
    <w:rsid w:val="00EE6032"/>
    <w:rsid w:val="00EF20ED"/>
    <w:rsid w:val="00EF5931"/>
    <w:rsid w:val="00EF7DEC"/>
    <w:rsid w:val="00F03749"/>
    <w:rsid w:val="00F0641A"/>
    <w:rsid w:val="00F14E02"/>
    <w:rsid w:val="00F15179"/>
    <w:rsid w:val="00F16DD8"/>
    <w:rsid w:val="00F221CB"/>
    <w:rsid w:val="00F234B6"/>
    <w:rsid w:val="00F2578D"/>
    <w:rsid w:val="00F40C5E"/>
    <w:rsid w:val="00F45CA2"/>
    <w:rsid w:val="00F521D1"/>
    <w:rsid w:val="00F603BC"/>
    <w:rsid w:val="00F63709"/>
    <w:rsid w:val="00F773BA"/>
    <w:rsid w:val="00F86B87"/>
    <w:rsid w:val="00FA3025"/>
    <w:rsid w:val="00FB10CA"/>
    <w:rsid w:val="00FB29D4"/>
    <w:rsid w:val="00FB3C8A"/>
    <w:rsid w:val="00FC2431"/>
    <w:rsid w:val="00FE11C9"/>
    <w:rsid w:val="00FE57FD"/>
    <w:rsid w:val="00FE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9B3D14"/>
  <w15:docId w15:val="{C225546C-27D0-414B-A8D2-7BBC17C0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334269"/>
    <w:pPr>
      <w:keepNext/>
      <w:numPr>
        <w:numId w:val="15"/>
      </w:numPr>
      <w:pBdr>
        <w:bottom w:val="single" w:sz="12" w:space="1" w:color="808080"/>
      </w:pBdr>
      <w:spacing w:before="240" w:after="120"/>
      <w:ind w:left="0" w:firstLine="0"/>
      <w:outlineLvl w:val="0"/>
    </w:pPr>
    <w:rPr>
      <w:rFonts w:ascii="Trebuchet MS" w:hAnsi="Trebuchet MS"/>
      <w:b/>
      <w:bCs/>
      <w:smallCaps/>
      <w:sz w:val="28"/>
      <w:lang w:val="en-GB"/>
    </w:rPr>
  </w:style>
  <w:style w:type="paragraph" w:styleId="Heading2">
    <w:name w:val="heading 2"/>
    <w:basedOn w:val="Normal"/>
    <w:next w:val="BodyText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DE2F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Sfondochiaro-Colore11">
    <w:name w:val="Sfondo chiaro - Colore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BodyTextChar">
    <w:name w:val="Body Text Char"/>
    <w:basedOn w:val="DefaultParagraphFont"/>
    <w:link w:val="BodyText"/>
    <w:rsid w:val="0010316E"/>
    <w:rPr>
      <w:rFonts w:ascii="Arial Narrow" w:hAnsi="Arial Narrow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113D5-2B75-5C42-9628-DD8490C493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7F330A-C994-430F-96B4-5FCE19CA6C49}"/>
</file>

<file path=customXml/itemProps3.xml><?xml version="1.0" encoding="utf-8"?>
<ds:datastoreItem xmlns:ds="http://schemas.openxmlformats.org/officeDocument/2006/customXml" ds:itemID="{DF2B6C1A-BC74-47F4-A691-71E8AC487F4B}"/>
</file>

<file path=customXml/itemProps4.xml><?xml version="1.0" encoding="utf-8"?>
<ds:datastoreItem xmlns:ds="http://schemas.openxmlformats.org/officeDocument/2006/customXml" ds:itemID="{F133FBE9-EB21-4445-B170-E381563835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Term Project 1</vt:lpstr>
      <vt:lpstr>Term Project 1</vt:lpstr>
    </vt:vector>
  </TitlesOfParts>
  <Company>CEE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Alberto De Marco</cp:lastModifiedBy>
  <cp:revision>4</cp:revision>
  <cp:lastPrinted>2018-09-18T17:46:00Z</cp:lastPrinted>
  <dcterms:created xsi:type="dcterms:W3CDTF">2018-09-18T17:44:00Z</dcterms:created>
  <dcterms:modified xsi:type="dcterms:W3CDTF">2018-09-18T17:47:00Z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