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1" w:before="158" w:after="158"/>
        <w:jc w:val="left"/>
        <w:rPr>
          <w:rFonts w:ascii="Liberation Sans" w:hAnsi="Liberation Sans"/>
          <w:color w:val="auto"/>
          <w:sz w:val="28"/>
          <w:szCs w:val="28"/>
        </w:rPr>
      </w:pPr>
      <w:r>
        <w:rPr>
          <w:rFonts w:eastAsia="inter" w:cs="inter" w:ascii="Liberation Sans" w:hAnsi="Liberation Sans"/>
          <w:b/>
          <w:color w:val="auto"/>
          <w:sz w:val="28"/>
          <w:szCs w:val="28"/>
        </w:rPr>
        <w:t>High Performance Stock Day Trading Platform: Comprehensive Development Framework</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This comprehensive framework outlines the complete requirements, architecture, and implementation strategy for developing a high-performance stock day trading platform on Windows 11 X64. The platform must achieve ultra-low latency execution, robust risk management, and seamless market connectivity while maintaining operational reliability and regulatory compliance. Key components include modular architecture design, advanced order management systems, real-time market data processing, and sophisticated performance optimization techniques that collectively enable competitive advantage in modern electronic trading environments.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Financial and Market Requirements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Regulatory Compliance Framework</w:t>
      </w:r>
    </w:p>
    <w:p>
      <w:pPr>
        <w:pStyle w:val="Normal"/>
        <w:spacing w:lineRule="auto" w:line="360" w:before="0" w:after="210"/>
        <w:rPr/>
      </w:pPr>
      <w:r>
        <w:rPr>
          <w:rFonts w:eastAsia="inter" w:cs="inter" w:ascii="Liberation Sans" w:hAnsi="Liberation Sans"/>
          <w:color w:val="auto"/>
          <w:sz w:val="28"/>
          <w:szCs w:val="28"/>
        </w:rPr>
        <w:t>The trading platform must adhere to stringent financial regulations across multiple jurisdictions where trading activities will occur. Securities and Exchange Commission (SEC) compliance requires implementation of comprehensive audit trails, trade reporting mechanisms, and investor protection measures</w:t>
      </w:r>
      <w:hyperlink w:anchor="fn1">
        <w:bookmarkStart w:id="0" w:name="fnref1"/>
        <w:bookmarkEnd w:id="0"/>
        <w:r>
          <w:rPr>
            <w:rStyle w:val="Style9"/>
            <w:rFonts w:eastAsia="inter" w:cs="inter" w:ascii="Liberation Sans" w:hAnsi="Liberation Sans"/>
            <w:color w:val="auto"/>
            <w:sz w:val="28"/>
            <w:szCs w:val="28"/>
            <w:u w:val="single"/>
            <w:vertAlign w:val="superscript"/>
          </w:rPr>
          <w:t>[1]</w:t>
        </w:r>
      </w:hyperlink>
      <w:r>
        <w:rPr>
          <w:rFonts w:eastAsia="inter" w:cs="inter" w:ascii="Liberation Sans" w:hAnsi="Liberation Sans"/>
          <w:color w:val="auto"/>
          <w:sz w:val="28"/>
          <w:szCs w:val="28"/>
        </w:rPr>
        <w:t>. The platform must maintain detailed records of all trading activities, including order timestamps, execution prices, and transaction volumes, ensuring full traceability for regulatory examinations. Financial Industry Regulatory Authority (FINRA) requirements mandate specific order handling procedures, best execution practices, and market maker obligations that must be integrated into the platform's core functionality.</w:t>
      </w:r>
    </w:p>
    <w:p>
      <w:pPr>
        <w:pStyle w:val="Normal"/>
        <w:spacing w:lineRule="auto" w:line="360" w:before="0" w:after="210"/>
        <w:rPr/>
      </w:pPr>
      <w:r>
        <w:rPr>
          <w:rFonts w:eastAsia="inter" w:cs="inter" w:ascii="Liberation Sans" w:hAnsi="Liberation Sans"/>
          <w:color w:val="auto"/>
          <w:sz w:val="28"/>
          <w:szCs w:val="28"/>
        </w:rPr>
        <w:t>Risk management protocols must align with Securities Investor Protection Corporation (SIPC) guidelines, implementing appropriate safeguards to protect client assets and maintain segregated account structures</w:t>
      </w:r>
      <w:hyperlink w:anchor="fn1">
        <w:bookmarkStart w:id="1" w:name="fnref1%3A1"/>
        <w:bookmarkEnd w:id="1"/>
        <w:r>
          <w:rPr>
            <w:rStyle w:val="Style9"/>
            <w:rFonts w:eastAsia="inter" w:cs="inter" w:ascii="Liberation Sans" w:hAnsi="Liberation Sans"/>
            <w:color w:val="auto"/>
            <w:sz w:val="28"/>
            <w:szCs w:val="28"/>
            <w:u w:val="single"/>
            <w:vertAlign w:val="superscript"/>
          </w:rPr>
          <w:t>[1]</w:t>
        </w:r>
      </w:hyperlink>
      <w:r>
        <w:rPr>
          <w:rFonts w:eastAsia="inter" w:cs="inter" w:ascii="Liberation Sans" w:hAnsi="Liberation Sans"/>
          <w:color w:val="auto"/>
          <w:sz w:val="28"/>
          <w:szCs w:val="28"/>
        </w:rPr>
        <w:t>. The platform must also accommodate international regulatory frameworks when accessing global markets, including European MiFID II requirements for transaction reporting and transparency, as well as emerging regulations in Asian markets. Real-time compliance monitoring systems must be embedded within the trading workflow to detect and prevent potential violations before they occur.</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Market Access and Connectivity Requirements</w:t>
      </w:r>
    </w:p>
    <w:p>
      <w:pPr>
        <w:pStyle w:val="Normal"/>
        <w:spacing w:lineRule="auto" w:line="360" w:before="0" w:after="210"/>
        <w:rPr/>
      </w:pPr>
      <w:r>
        <w:rPr>
          <w:rFonts w:eastAsia="inter" w:cs="inter" w:ascii="Liberation Sans" w:hAnsi="Liberation Sans"/>
          <w:color w:val="auto"/>
          <w:sz w:val="28"/>
          <w:szCs w:val="28"/>
        </w:rPr>
        <w:t>The platform requires direct market access (DMA) capabilities to major U.S. equity exchanges including NYSE, NASDAQ, BATS, and IEX, ensuring optimal execution across fragmented liquidity pools</w:t>
      </w:r>
      <w:hyperlink w:anchor="fn2">
        <w:bookmarkStart w:id="2" w:name="fnref2"/>
        <w:bookmarkEnd w:id="2"/>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Multi-venue connectivity through Financial Information eXchange (FIX) protocol implementation enables standardized communication with brokers, exchanges, and alternative trading systems (ATS)</w:t>
      </w:r>
      <w:hyperlink w:anchor="fn3">
        <w:bookmarkStart w:id="3" w:name="fnref3"/>
        <w:bookmarkEnd w:id="3"/>
        <w:r>
          <w:rPr>
            <w:rStyle w:val="Style9"/>
            <w:rFonts w:eastAsia="inter" w:cs="inter" w:ascii="Liberation Sans" w:hAnsi="Liberation Sans"/>
            <w:color w:val="auto"/>
            <w:sz w:val="28"/>
            <w:szCs w:val="28"/>
            <w:u w:val="single"/>
            <w:vertAlign w:val="superscript"/>
          </w:rPr>
          <w:t>[3]</w:t>
        </w:r>
      </w:hyperlink>
      <w:hyperlink w:anchor="fn4">
        <w:bookmarkStart w:id="4" w:name="fnref4"/>
        <w:bookmarkEnd w:id="4"/>
        <w:r>
          <w:rPr>
            <w:rStyle w:val="Style9"/>
            <w:rFonts w:eastAsia="inter" w:cs="inter" w:ascii="Liberation Sans" w:hAnsi="Liberation Sans"/>
            <w:color w:val="auto"/>
            <w:sz w:val="28"/>
            <w:szCs w:val="28"/>
            <w:u w:val="single"/>
            <w:vertAlign w:val="superscript"/>
          </w:rPr>
          <w:t>[4]</w:t>
        </w:r>
      </w:hyperlink>
      <w:r>
        <w:rPr>
          <w:rFonts w:eastAsia="inter" w:cs="inter" w:ascii="Liberation Sans" w:hAnsi="Liberation Sans"/>
          <w:color w:val="auto"/>
          <w:sz w:val="28"/>
          <w:szCs w:val="28"/>
        </w:rPr>
        <w:t>. The FIX engine must support versions 4.1 through 5.0, providing backward compatibility while leveraging enhanced features in newer protocol versions.</w:t>
      </w:r>
    </w:p>
    <w:p>
      <w:pPr>
        <w:pStyle w:val="Normal"/>
        <w:spacing w:lineRule="auto" w:line="360" w:before="0" w:after="210"/>
        <w:rPr/>
      </w:pPr>
      <w:r>
        <w:rPr>
          <w:rFonts w:eastAsia="inter" w:cs="inter" w:ascii="Liberation Sans" w:hAnsi="Liberation Sans"/>
          <w:color w:val="auto"/>
          <w:sz w:val="28"/>
          <w:szCs w:val="28"/>
        </w:rPr>
        <w:t>Market data feeds must encompass Level I and Level II data streams, providing real-time bid/ask quotes, market depth information, and time-and-sales data across all connected venues</w:t>
      </w:r>
      <w:hyperlink w:anchor="fn5">
        <w:bookmarkStart w:id="5" w:name="fnref5"/>
        <w:bookmarkEnd w:id="5"/>
        <w:r>
          <w:rPr>
            <w:rStyle w:val="Style9"/>
            <w:rFonts w:eastAsia="inter" w:cs="inter" w:ascii="Liberation Sans" w:hAnsi="Liberation Sans"/>
            <w:color w:val="auto"/>
            <w:sz w:val="28"/>
            <w:szCs w:val="28"/>
            <w:u w:val="single"/>
            <w:vertAlign w:val="superscript"/>
          </w:rPr>
          <w:t>[5]</w:t>
        </w:r>
      </w:hyperlink>
      <w:r>
        <w:rPr>
          <w:rFonts w:eastAsia="inter" w:cs="inter" w:ascii="Liberation Sans" w:hAnsi="Liberation Sans"/>
          <w:color w:val="auto"/>
          <w:sz w:val="28"/>
          <w:szCs w:val="28"/>
        </w:rPr>
        <w:t>. The platform must integrate with major market data providers such as Bloomberg, Reuters, and direct exchange feeds to ensure comprehensive market coverage. Co-location services at key data centers should be evaluated to minimize network latency, particularly for high-frequency trading strategies where microsecond advantages translate to significant profit opportunities</w:t>
      </w:r>
      <w:hyperlink w:anchor="fn6">
        <w:bookmarkStart w:id="6" w:name="fnref6"/>
        <w:bookmarkEnd w:id="6"/>
        <w:r>
          <w:rPr>
            <w:rStyle w:val="Style9"/>
            <w:rFonts w:eastAsia="inter" w:cs="inter" w:ascii="Liberation Sans" w:hAnsi="Liberation Sans"/>
            <w:color w:val="auto"/>
            <w:sz w:val="28"/>
            <w:szCs w:val="28"/>
            <w:u w:val="single"/>
            <w:vertAlign w:val="superscript"/>
          </w:rPr>
          <w:t>[6]</w:t>
        </w:r>
      </w:hyperlink>
      <w:r>
        <w:rPr>
          <w:rFonts w:eastAsia="inter" w:cs="inter" w:ascii="Liberation Sans" w:hAnsi="Liberation Sans"/>
          <w:color w:val="auto"/>
          <w:sz w:val="28"/>
          <w:szCs w:val="28"/>
        </w:rPr>
        <w:t>.</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Liquidity and Execution Requirements</w:t>
      </w:r>
    </w:p>
    <w:p>
      <w:pPr>
        <w:pStyle w:val="Normal"/>
        <w:spacing w:lineRule="auto" w:line="360" w:before="0" w:after="210"/>
        <w:rPr/>
      </w:pPr>
      <w:r>
        <w:rPr>
          <w:rFonts w:eastAsia="inter" w:cs="inter" w:ascii="Liberation Sans" w:hAnsi="Liberation Sans"/>
          <w:color w:val="auto"/>
          <w:sz w:val="28"/>
          <w:szCs w:val="28"/>
        </w:rPr>
        <w:t>Order routing intelligence must optimize execution quality through smart order routing (SOR) algorithms that analyze real-time market conditions, venue liquidity, and historical execution data</w:t>
      </w:r>
      <w:hyperlink w:anchor="fn2">
        <w:bookmarkStart w:id="7" w:name="fnref2%3A1"/>
        <w:bookmarkEnd w:id="7"/>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The platform must support various order types including market orders, limit orders, stop-loss orders, and advanced conditional orders such as iceberg and hidden orders. Dark pool access through Electronic Communication Networks (ECNs) provides additional liquidity sources while minimizing market impact for large orders</w:t>
      </w:r>
      <w:hyperlink w:anchor="fn5">
        <w:bookmarkStart w:id="8" w:name="fnref5%3A1"/>
        <w:bookmarkEnd w:id="8"/>
        <w:r>
          <w:rPr>
            <w:rStyle w:val="Style9"/>
            <w:rFonts w:eastAsia="inter" w:cs="inter" w:ascii="Liberation Sans" w:hAnsi="Liberation Sans"/>
            <w:color w:val="auto"/>
            <w:sz w:val="28"/>
            <w:szCs w:val="28"/>
            <w:u w:val="single"/>
            <w:vertAlign w:val="superscript"/>
          </w:rPr>
          <w:t>[5]</w:t>
        </w:r>
      </w:hyperlink>
      <w:r>
        <w:rPr>
          <w:rFonts w:eastAsia="inter" w:cs="inter" w:ascii="Liberation Sans" w:hAnsi="Liberation Sans"/>
          <w:color w:val="auto"/>
          <w:sz w:val="28"/>
          <w:szCs w:val="28"/>
        </w:rPr>
        <w: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Execution algorithms must implement Time-Weighted Average Price (TWAP) and Volume-Weighted Average Price (VWAP) strategies to minimize market impact during large order execution. The platform must also support algorithmic trading strategies including momentum-based, mean-reversion, and arbitrage strategies that can be deployed automatically based on predefined criteria. Transaction cost analysis (TCA) capabilities must measure execution quality against various benchmarks, providing feedback for strategy optimization and regulatory reporting requirements.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Technical Architecture Requirements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Low Latency System Design</w:t>
      </w:r>
    </w:p>
    <w:p>
      <w:pPr>
        <w:pStyle w:val="Normal"/>
        <w:spacing w:lineRule="auto" w:line="360" w:before="0" w:after="210"/>
        <w:rPr/>
      </w:pPr>
      <w:r>
        <w:rPr>
          <w:rFonts w:eastAsia="inter" w:cs="inter" w:ascii="Liberation Sans" w:hAnsi="Liberation Sans"/>
          <w:color w:val="auto"/>
          <w:sz w:val="28"/>
          <w:szCs w:val="28"/>
        </w:rPr>
        <w:t>Ultra-low latency performance demands a carefully architected system optimized for speed at every layer of the technology stack</w:t>
      </w:r>
      <w:hyperlink w:anchor="fn7">
        <w:bookmarkStart w:id="9" w:name="fnref7"/>
        <w:bookmarkEnd w:id="9"/>
        <w:r>
          <w:rPr>
            <w:rStyle w:val="Style9"/>
            <w:rFonts w:eastAsia="inter" w:cs="inter" w:ascii="Liberation Sans" w:hAnsi="Liberation Sans"/>
            <w:color w:val="auto"/>
            <w:sz w:val="28"/>
            <w:szCs w:val="28"/>
            <w:u w:val="single"/>
            <w:vertAlign w:val="superscript"/>
          </w:rPr>
          <w:t>[7]</w:t>
        </w:r>
      </w:hyperlink>
      <w:hyperlink w:anchor="fn8">
        <w:bookmarkStart w:id="10" w:name="fnref8"/>
        <w:bookmarkEnd w:id="10"/>
        <w:r>
          <w:rPr>
            <w:rStyle w:val="Style9"/>
            <w:rFonts w:eastAsia="inter" w:cs="inter" w:ascii="Liberation Sans" w:hAnsi="Liberation Sans"/>
            <w:color w:val="auto"/>
            <w:sz w:val="28"/>
            <w:szCs w:val="28"/>
            <w:u w:val="single"/>
            <w:vertAlign w:val="superscript"/>
          </w:rPr>
          <w:t>[8]</w:t>
        </w:r>
      </w:hyperlink>
      <w:r>
        <w:rPr>
          <w:rFonts w:eastAsia="inter" w:cs="inter" w:ascii="Liberation Sans" w:hAnsi="Liberation Sans"/>
          <w:color w:val="auto"/>
          <w:sz w:val="28"/>
          <w:szCs w:val="28"/>
        </w:rPr>
        <w:t>. The platform must achieve sub-millisecond order execution times, with target latencies under 100 microseconds from signal generation to order transmission</w:t>
      </w:r>
      <w:hyperlink w:anchor="fn5">
        <w:bookmarkStart w:id="11" w:name="fnref5%3A2"/>
        <w:bookmarkEnd w:id="11"/>
        <w:r>
          <w:rPr>
            <w:rStyle w:val="Style9"/>
            <w:rFonts w:eastAsia="inter" w:cs="inter" w:ascii="Liberation Sans" w:hAnsi="Liberation Sans"/>
            <w:color w:val="auto"/>
            <w:sz w:val="28"/>
            <w:szCs w:val="28"/>
            <w:u w:val="single"/>
            <w:vertAlign w:val="superscript"/>
          </w:rPr>
          <w:t>[5]</w:t>
        </w:r>
      </w:hyperlink>
      <w:r>
        <w:rPr>
          <w:rFonts w:eastAsia="inter" w:cs="inter" w:ascii="Liberation Sans" w:hAnsi="Liberation Sans"/>
          <w:color w:val="auto"/>
          <w:sz w:val="28"/>
          <w:szCs w:val="28"/>
        </w:rPr>
        <w:t>. This requires implementation of busy-wait or spinning patterns where critical processes maintain constant CPU cycles to avoid context switching delays, despite consuming significant computational resources</w:t>
      </w:r>
      <w:hyperlink w:anchor="fn8">
        <w:bookmarkStart w:id="12" w:name="fnref8%3A1"/>
        <w:bookmarkEnd w:id="12"/>
        <w:r>
          <w:rPr>
            <w:rStyle w:val="Style9"/>
            <w:rFonts w:eastAsia="inter" w:cs="inter" w:ascii="Liberation Sans" w:hAnsi="Liberation Sans"/>
            <w:color w:val="auto"/>
            <w:sz w:val="28"/>
            <w:szCs w:val="28"/>
            <w:u w:val="single"/>
            <w:vertAlign w:val="superscript"/>
          </w:rPr>
          <w:t>[8]</w:t>
        </w:r>
      </w:hyperlink>
      <w:r>
        <w:rPr>
          <w:rFonts w:eastAsia="inter" w:cs="inter" w:ascii="Liberation Sans" w:hAnsi="Liberation Sans"/>
          <w:color w:val="auto"/>
          <w:sz w:val="28"/>
          <w:szCs w:val="28"/>
        </w:rPr>
        <w:t>.</w:t>
      </w:r>
    </w:p>
    <w:p>
      <w:pPr>
        <w:pStyle w:val="Normal"/>
        <w:spacing w:lineRule="auto" w:line="360" w:before="0" w:after="210"/>
        <w:rPr/>
      </w:pPr>
      <w:r>
        <w:rPr>
          <w:rFonts w:eastAsia="inter" w:cs="inter" w:ascii="Liberation Sans" w:hAnsi="Liberation Sans"/>
          <w:color w:val="auto"/>
          <w:sz w:val="28"/>
          <w:szCs w:val="28"/>
        </w:rPr>
        <w:t>CPU core affinity assignment ensures that latency-critical processes are pinned to specific processor cores, preventing the operating system scheduler from introducing unpredictable delays</w:t>
      </w:r>
      <w:hyperlink w:anchor="fn8">
        <w:bookmarkStart w:id="13" w:name="fnref8%3A2"/>
        <w:bookmarkEnd w:id="13"/>
        <w:r>
          <w:rPr>
            <w:rStyle w:val="Style9"/>
            <w:rFonts w:eastAsia="inter" w:cs="inter" w:ascii="Liberation Sans" w:hAnsi="Liberation Sans"/>
            <w:color w:val="auto"/>
            <w:sz w:val="28"/>
            <w:szCs w:val="28"/>
            <w:u w:val="single"/>
            <w:vertAlign w:val="superscript"/>
          </w:rPr>
          <w:t>[8]</w:t>
        </w:r>
      </w:hyperlink>
      <w:r>
        <w:rPr>
          <w:rFonts w:eastAsia="inter" w:cs="inter" w:ascii="Liberation Sans" w:hAnsi="Liberation Sans"/>
          <w:color w:val="auto"/>
          <w:sz w:val="28"/>
          <w:szCs w:val="28"/>
        </w:rPr>
        <w:t>. Memory management must prioritize cache locality and minimize garbage collection overhead through careful data structure design and memory pool allocation strategies. Network stack optimization includes bypass techniques such as kernel bypass networking using technologies like DPDK (Data Plane Development Kit) to eliminate unnecessary protocol processing overhead.</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Modular Architecture Framework</w:t>
      </w:r>
    </w:p>
    <w:p>
      <w:pPr>
        <w:pStyle w:val="Normal"/>
        <w:spacing w:lineRule="auto" w:line="360" w:before="0" w:after="210"/>
        <w:rPr/>
      </w:pPr>
      <w:r>
        <w:rPr>
          <w:rFonts w:eastAsia="inter" w:cs="inter" w:ascii="Liberation Sans" w:hAnsi="Liberation Sans"/>
          <w:color w:val="auto"/>
          <w:sz w:val="28"/>
          <w:szCs w:val="28"/>
        </w:rPr>
        <w:t>The transition from monolithic to modular architecture enables greater flexibility, scalability, and maintainability while supporting the demanding performance requirements of modern trading systems</w:t>
      </w:r>
      <w:hyperlink w:anchor="fn7">
        <w:bookmarkStart w:id="14" w:name="fnref7%3A1"/>
        <w:bookmarkEnd w:id="14"/>
        <w:r>
          <w:rPr>
            <w:rStyle w:val="Style9"/>
            <w:rFonts w:eastAsia="inter" w:cs="inter" w:ascii="Liberation Sans" w:hAnsi="Liberation Sans"/>
            <w:color w:val="auto"/>
            <w:sz w:val="28"/>
            <w:szCs w:val="28"/>
            <w:u w:val="single"/>
            <w:vertAlign w:val="superscript"/>
          </w:rPr>
          <w:t>[7]</w:t>
        </w:r>
      </w:hyperlink>
      <w:r>
        <w:rPr>
          <w:rFonts w:eastAsia="inter" w:cs="inter" w:ascii="Liberation Sans" w:hAnsi="Liberation Sans"/>
          <w:color w:val="auto"/>
          <w:sz w:val="28"/>
          <w:szCs w:val="28"/>
        </w:rPr>
        <w:t>. Core modules must include market data processing, order management, risk management, execution management, and position management, each designed as independent services that communicate through high-performance inter-process communication mechanisms.</w:t>
      </w:r>
    </w:p>
    <w:p>
      <w:pPr>
        <w:pStyle w:val="Normal"/>
        <w:spacing w:lineRule="auto" w:line="360" w:before="0" w:after="210"/>
        <w:rPr/>
      </w:pPr>
      <w:r>
        <w:rPr>
          <w:rFonts w:eastAsia="inter" w:cs="inter" w:ascii="Liberation Sans" w:hAnsi="Liberation Sans"/>
          <w:color w:val="auto"/>
          <w:sz w:val="28"/>
          <w:szCs w:val="28"/>
        </w:rPr>
        <w:t>Event sourcing architecture provides both performance benefits and regulatory compliance advantages by maintaining immutable transaction logs that enable complete system state reconstruction</w:t>
      </w:r>
      <w:hyperlink w:anchor="fn7">
        <w:bookmarkStart w:id="15" w:name="fnref7%3A2"/>
        <w:bookmarkEnd w:id="15"/>
        <w:r>
          <w:rPr>
            <w:rStyle w:val="Style9"/>
            <w:rFonts w:eastAsia="inter" w:cs="inter" w:ascii="Liberation Sans" w:hAnsi="Liberation Sans"/>
            <w:color w:val="auto"/>
            <w:sz w:val="28"/>
            <w:szCs w:val="28"/>
            <w:u w:val="single"/>
            <w:vertAlign w:val="superscript"/>
          </w:rPr>
          <w:t>[7]</w:t>
        </w:r>
      </w:hyperlink>
      <w:r>
        <w:rPr>
          <w:rFonts w:eastAsia="inter" w:cs="inter" w:ascii="Liberation Sans" w:hAnsi="Liberation Sans"/>
          <w:color w:val="auto"/>
          <w:sz w:val="28"/>
          <w:szCs w:val="28"/>
        </w:rPr>
        <w:t>. This approach supports the dual objectives of ultra-low latency execution and comprehensive audit trail maintenance required for regulatory reporting. Message passing between modules should utilize lock-free data structures and memory-mapped files to minimize synchronization overhead while maintaining data consistency.</w:t>
      </w:r>
    </w:p>
    <w:p>
      <w:pPr>
        <w:pStyle w:val="Normal"/>
        <w:spacing w:lineRule="auto" w:line="360" w:before="0" w:after="210"/>
        <w:rPr/>
      </w:pPr>
      <w:r>
        <w:rPr>
          <w:rFonts w:eastAsia="inter" w:cs="inter" w:ascii="Liberation Sans" w:hAnsi="Liberation Sans"/>
          <w:color w:val="auto"/>
          <w:sz w:val="28"/>
          <w:szCs w:val="28"/>
        </w:rPr>
        <w:t>The platform must support microservices deployment patterns that enable independent scaling and updates of individual components without affecting overall system availability</w:t>
      </w:r>
      <w:hyperlink w:anchor="fn9">
        <w:bookmarkStart w:id="16" w:name="fnref9"/>
        <w:bookmarkEnd w:id="16"/>
        <w:r>
          <w:rPr>
            <w:rStyle w:val="Style9"/>
            <w:rFonts w:eastAsia="inter" w:cs="inter" w:ascii="Liberation Sans" w:hAnsi="Liberation Sans"/>
            <w:color w:val="auto"/>
            <w:sz w:val="28"/>
            <w:szCs w:val="28"/>
            <w:u w:val="single"/>
            <w:vertAlign w:val="superscript"/>
          </w:rPr>
          <w:t>[9]</w:t>
        </w:r>
      </w:hyperlink>
      <w:r>
        <w:rPr>
          <w:rFonts w:eastAsia="inter" w:cs="inter" w:ascii="Liberation Sans" w:hAnsi="Liberation Sans"/>
          <w:color w:val="auto"/>
          <w:sz w:val="28"/>
          <w:szCs w:val="28"/>
        </w:rPr>
        <w:t>. Container orchestration using Docker and Kubernetes facilitates deployment flexibility across development, testing, and production environments while maintaining consistent performance characteristics.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Hardware and Infrastructure Specifications</w:t>
      </w:r>
    </w:p>
    <w:p>
      <w:pPr>
        <w:pStyle w:val="Normal"/>
        <w:spacing w:lineRule="auto" w:line="360" w:before="0" w:after="210"/>
        <w:rPr/>
      </w:pPr>
      <w:r>
        <w:rPr>
          <w:rFonts w:eastAsia="inter" w:cs="inter" w:ascii="Liberation Sans" w:hAnsi="Liberation Sans"/>
          <w:color w:val="auto"/>
          <w:sz w:val="28"/>
          <w:szCs w:val="28"/>
        </w:rPr>
        <w:t>High-performance trading systems require specialized hardware configurations optimized for low-latency processing and high-throughput data handling</w:t>
      </w:r>
      <w:hyperlink w:anchor="fn10">
        <w:bookmarkStart w:id="17" w:name="fnref10"/>
        <w:bookmarkEnd w:id="17"/>
        <w:r>
          <w:rPr>
            <w:rStyle w:val="Style9"/>
            <w:rFonts w:eastAsia="inter" w:cs="inter" w:ascii="Liberation Sans" w:hAnsi="Liberation Sans"/>
            <w:color w:val="auto"/>
            <w:sz w:val="28"/>
            <w:szCs w:val="28"/>
            <w:u w:val="single"/>
            <w:vertAlign w:val="superscript"/>
          </w:rPr>
          <w:t>[10]</w:t>
        </w:r>
      </w:hyperlink>
      <w:hyperlink w:anchor="fn11">
        <w:bookmarkStart w:id="18" w:name="fnref11"/>
        <w:bookmarkEnd w:id="18"/>
        <w:r>
          <w:rPr>
            <w:rStyle w:val="Style9"/>
            <w:rFonts w:eastAsia="inter" w:cs="inter" w:ascii="Liberation Sans" w:hAnsi="Liberation Sans"/>
            <w:color w:val="auto"/>
            <w:sz w:val="28"/>
            <w:szCs w:val="28"/>
            <w:u w:val="single"/>
            <w:vertAlign w:val="superscript"/>
          </w:rPr>
          <w:t>[11]</w:t>
        </w:r>
      </w:hyperlink>
      <w:r>
        <w:rPr>
          <w:rFonts w:eastAsia="inter" w:cs="inter" w:ascii="Liberation Sans" w:hAnsi="Liberation Sans"/>
          <w:color w:val="auto"/>
          <w:sz w:val="28"/>
          <w:szCs w:val="28"/>
        </w:rPr>
        <w:t>. The primary trading workstation must feature the latest generation multi-core processors, preferably AMD Ryzen 7800X3D or Intel equivalent, with sufficient cores to support dedicated CPU affinity assignments for critical trading processes</w:t>
      </w:r>
      <w:hyperlink w:anchor="fn12">
        <w:bookmarkStart w:id="19" w:name="fnref12"/>
        <w:bookmarkEnd w:id="19"/>
        <w:r>
          <w:rPr>
            <w:rStyle w:val="Style9"/>
            <w:rFonts w:eastAsia="inter" w:cs="inter" w:ascii="Liberation Sans" w:hAnsi="Liberation Sans"/>
            <w:color w:val="auto"/>
            <w:sz w:val="28"/>
            <w:szCs w:val="28"/>
            <w:u w:val="single"/>
            <w:vertAlign w:val="superscript"/>
          </w:rPr>
          <w:t>[12]</w:t>
        </w:r>
      </w:hyperlink>
      <w:r>
        <w:rPr>
          <w:rFonts w:eastAsia="inter" w:cs="inter" w:ascii="Liberation Sans" w:hAnsi="Liberation Sans"/>
          <w:color w:val="auto"/>
          <w:sz w:val="28"/>
          <w:szCs w:val="28"/>
        </w:rPr>
        <w:t>. Memory configuration should include at least 64GB of high-speed DDR5 RAM with low-latency timings to minimize memory access delays.</w:t>
      </w:r>
    </w:p>
    <w:p>
      <w:pPr>
        <w:pStyle w:val="Normal"/>
        <w:spacing w:lineRule="auto" w:line="360" w:before="0" w:after="210"/>
        <w:rPr/>
      </w:pPr>
      <w:r>
        <w:rPr>
          <w:rFonts w:eastAsia="inter" w:cs="inter" w:ascii="Liberation Sans" w:hAnsi="Liberation Sans"/>
          <w:color w:val="auto"/>
          <w:sz w:val="28"/>
          <w:szCs w:val="28"/>
        </w:rPr>
        <w:t>Network infrastructure must support 10 Gigabit Ethernet connectivity with ultra-low latency network interface cards (NICs) featuring hardware timestamping capabilities</w:t>
      </w:r>
      <w:hyperlink w:anchor="fn11">
        <w:bookmarkStart w:id="20" w:name="fnref11%3A1"/>
        <w:bookmarkEnd w:id="20"/>
        <w:r>
          <w:rPr>
            <w:rStyle w:val="Style9"/>
            <w:rFonts w:eastAsia="inter" w:cs="inter" w:ascii="Liberation Sans" w:hAnsi="Liberation Sans"/>
            <w:color w:val="auto"/>
            <w:sz w:val="28"/>
            <w:szCs w:val="28"/>
            <w:u w:val="single"/>
            <w:vertAlign w:val="superscript"/>
          </w:rPr>
          <w:t>[11]</w:t>
        </w:r>
      </w:hyperlink>
      <w:r>
        <w:rPr>
          <w:rFonts w:eastAsia="inter" w:cs="inter" w:ascii="Liberation Sans" w:hAnsi="Liberation Sans"/>
          <w:color w:val="auto"/>
          <w:sz w:val="28"/>
          <w:szCs w:val="28"/>
        </w:rPr>
        <w:t>. Consider FPGA-based networking solutions for ultimate performance, where Field-Programmable Gate Arrays process network packets in hardware rather than software, achieving nanosecond-level latencies</w:t>
      </w:r>
      <w:hyperlink w:anchor="fn10">
        <w:bookmarkStart w:id="21" w:name="fnref10%3A1"/>
        <w:bookmarkEnd w:id="21"/>
        <w:r>
          <w:rPr>
            <w:rStyle w:val="Style9"/>
            <w:rFonts w:eastAsia="inter" w:cs="inter" w:ascii="Liberation Sans" w:hAnsi="Liberation Sans"/>
            <w:color w:val="auto"/>
            <w:sz w:val="28"/>
            <w:szCs w:val="28"/>
            <w:u w:val="single"/>
            <w:vertAlign w:val="superscript"/>
          </w:rPr>
          <w:t>[10]</w:t>
        </w:r>
      </w:hyperlink>
      <w:r>
        <w:rPr>
          <w:rFonts w:eastAsia="inter" w:cs="inter" w:ascii="Liberation Sans" w:hAnsi="Liberation Sans"/>
          <w:color w:val="auto"/>
          <w:sz w:val="28"/>
          <w:szCs w:val="28"/>
        </w:rPr>
        <w:t>. Storage systems must utilize NVMe SSDs configured in RAID arrays to ensure both performance and reliability for high-frequency data logging requirements.</w:t>
      </w:r>
    </w:p>
    <w:p>
      <w:pPr>
        <w:pStyle w:val="Normal"/>
        <w:spacing w:lineRule="auto" w:line="360" w:before="0" w:after="210"/>
        <w:rPr/>
      </w:pPr>
      <w:r>
        <w:rPr>
          <w:rFonts w:eastAsia="inter" w:cs="inter" w:ascii="Liberation Sans" w:hAnsi="Liberation Sans"/>
          <w:color w:val="auto"/>
          <w:sz w:val="28"/>
          <w:szCs w:val="28"/>
        </w:rPr>
        <w:t>Multiple monitor configurations are essential for effective trading operations, with recommendations for at least dual 4K displays to accommodate multiple chart windows, order books, and monitoring interfaces simultaneously</w:t>
      </w:r>
      <w:hyperlink w:anchor="fn13">
        <w:bookmarkStart w:id="22" w:name="fnref13"/>
        <w:bookmarkEnd w:id="22"/>
        <w:r>
          <w:rPr>
            <w:rStyle w:val="Style9"/>
            <w:rFonts w:eastAsia="inter" w:cs="inter" w:ascii="Liberation Sans" w:hAnsi="Liberation Sans"/>
            <w:color w:val="auto"/>
            <w:sz w:val="28"/>
            <w:szCs w:val="28"/>
            <w:u w:val="single"/>
            <w:vertAlign w:val="superscript"/>
          </w:rPr>
          <w:t>[13]</w:t>
        </w:r>
      </w:hyperlink>
      <w:r>
        <w:rPr>
          <w:rFonts w:eastAsia="inter" w:cs="inter" w:ascii="Liberation Sans" w:hAnsi="Liberation Sans"/>
          <w:color w:val="auto"/>
          <w:sz w:val="28"/>
          <w:szCs w:val="28"/>
        </w:rPr>
        <w:t>. Backup power systems including uninterruptible power supplies (UPS) and generator backup ensure continuous operation during power outages that could result in significant trading losses.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Software Stack and Development Requirements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Operating System Optimization</w:t>
      </w:r>
    </w:p>
    <w:p>
      <w:pPr>
        <w:pStyle w:val="Normal"/>
        <w:spacing w:lineRule="auto" w:line="360" w:before="0" w:after="210"/>
        <w:rPr/>
      </w:pPr>
      <w:r>
        <w:rPr>
          <w:rFonts w:eastAsia="inter" w:cs="inter" w:ascii="Liberation Sans" w:hAnsi="Liberation Sans"/>
          <w:color w:val="auto"/>
          <w:sz w:val="28"/>
          <w:szCs w:val="28"/>
        </w:rPr>
        <w:t>Windows 11 X64 provides the foundation platform but requires extensive optimization to achieve the performance levels demanded by high-frequency trading applications</w:t>
      </w:r>
      <w:hyperlink w:anchor="fn12">
        <w:bookmarkStart w:id="23" w:name="fnref12%3A1"/>
        <w:bookmarkEnd w:id="23"/>
        <w:r>
          <w:rPr>
            <w:rStyle w:val="Style9"/>
            <w:rFonts w:eastAsia="inter" w:cs="inter" w:ascii="Liberation Sans" w:hAnsi="Liberation Sans"/>
            <w:color w:val="auto"/>
            <w:sz w:val="28"/>
            <w:szCs w:val="28"/>
            <w:u w:val="single"/>
            <w:vertAlign w:val="superscript"/>
          </w:rPr>
          <w:t>[12]</w:t>
        </w:r>
      </w:hyperlink>
      <w:hyperlink w:anchor="fn14">
        <w:bookmarkStart w:id="24" w:name="fnref14"/>
        <w:bookmarkEnd w:id="24"/>
        <w:r>
          <w:rPr>
            <w:rStyle w:val="Style9"/>
            <w:rFonts w:eastAsia="inter" w:cs="inter" w:ascii="Liberation Sans" w:hAnsi="Liberation Sans"/>
            <w:color w:val="auto"/>
            <w:sz w:val="28"/>
            <w:szCs w:val="28"/>
            <w:u w:val="single"/>
            <w:vertAlign w:val="superscript"/>
          </w:rPr>
          <w:t>[14]</w:t>
        </w:r>
      </w:hyperlink>
      <w:r>
        <w:rPr>
          <w:rFonts w:eastAsia="inter" w:cs="inter" w:ascii="Liberation Sans" w:hAnsi="Liberation Sans"/>
          <w:color w:val="auto"/>
          <w:sz w:val="28"/>
          <w:szCs w:val="28"/>
        </w:rPr>
        <w:t>. Real-time performance enhancements include disabling unnecessary background services, optimizing power management settings for maximum performance, and configuring CPU scheduling policies to prioritize trading applications. Windows real-time extensions enable setting process and thread priorities to real-time levels using REALTIME_PRIORITY_CLASS and thread base priorities between 16 and 31</w:t>
      </w:r>
      <w:hyperlink w:anchor="fn15">
        <w:bookmarkStart w:id="25" w:name="fnref15"/>
        <w:bookmarkEnd w:id="25"/>
        <w:r>
          <w:rPr>
            <w:rStyle w:val="Style9"/>
            <w:rFonts w:eastAsia="inter" w:cs="inter" w:ascii="Liberation Sans" w:hAnsi="Liberation Sans"/>
            <w:color w:val="auto"/>
            <w:sz w:val="28"/>
            <w:szCs w:val="28"/>
            <w:u w:val="single"/>
            <w:vertAlign w:val="superscript"/>
          </w:rPr>
          <w:t>[15]</w:t>
        </w:r>
      </w:hyperlink>
      <w:r>
        <w:rPr>
          <w:rFonts w:eastAsia="inter" w:cs="inter" w:ascii="Liberation Sans" w:hAnsi="Liberation Sans"/>
          <w:color w:val="auto"/>
          <w:sz w:val="28"/>
          <w:szCs w:val="28"/>
        </w:rPr>
        <w:t>.</w:t>
      </w:r>
    </w:p>
    <w:p>
      <w:pPr>
        <w:pStyle w:val="Normal"/>
        <w:spacing w:lineRule="auto" w:line="360" w:before="0" w:after="210"/>
        <w:rPr/>
      </w:pPr>
      <w:r>
        <w:rPr>
          <w:rFonts w:eastAsia="inter" w:cs="inter" w:ascii="Liberation Sans" w:hAnsi="Liberation Sans"/>
          <w:color w:val="auto"/>
          <w:sz w:val="28"/>
          <w:szCs w:val="28"/>
        </w:rPr>
        <w:t>Core isolation techniques involve dedicating specific CPU cores exclusively to trading applications while relegating operating system tasks and non-critical processes to separate cores</w:t>
      </w:r>
      <w:hyperlink w:anchor="fn15">
        <w:bookmarkStart w:id="26" w:name="fnref15%3A1"/>
        <w:bookmarkEnd w:id="26"/>
        <w:r>
          <w:rPr>
            <w:rStyle w:val="Style9"/>
            <w:rFonts w:eastAsia="inter" w:cs="inter" w:ascii="Liberation Sans" w:hAnsi="Liberation Sans"/>
            <w:color w:val="auto"/>
            <w:sz w:val="28"/>
            <w:szCs w:val="28"/>
            <w:u w:val="single"/>
            <w:vertAlign w:val="superscript"/>
          </w:rPr>
          <w:t>[15]</w:t>
        </w:r>
      </w:hyperlink>
      <w:r>
        <w:rPr>
          <w:rFonts w:eastAsia="inter" w:cs="inter" w:ascii="Liberation Sans" w:hAnsi="Liberation Sans"/>
          <w:color w:val="auto"/>
          <w:sz w:val="28"/>
          <w:szCs w:val="28"/>
        </w:rPr>
        <w:t>. This prevents interference from background processes that could introduce unpredictable latency spikes during critical trading operations. Registry optimizations and driver configurations must be carefully tuned to minimize interrupt handling overhead and optimize memory management for trading workloads.</w:t>
      </w:r>
    </w:p>
    <w:p>
      <w:pPr>
        <w:pStyle w:val="Normal"/>
        <w:spacing w:lineRule="auto" w:line="360" w:before="0" w:after="210"/>
        <w:rPr/>
      </w:pPr>
      <w:r>
        <w:rPr>
          <w:rFonts w:eastAsia="inter" w:cs="inter" w:ascii="Liberation Sans" w:hAnsi="Liberation Sans"/>
          <w:color w:val="auto"/>
          <w:sz w:val="28"/>
          <w:szCs w:val="28"/>
        </w:rPr>
        <w:t>Network stack optimization includes disabling unnecessary protocol features, optimizing TCP parameters for low-latency communications, and implementing receive side scaling (RSS) to distribute network processing across multiple CPU cores</w:t>
      </w:r>
      <w:hyperlink w:anchor="fn14">
        <w:bookmarkStart w:id="27" w:name="fnref14%3A1"/>
        <w:bookmarkEnd w:id="27"/>
        <w:r>
          <w:rPr>
            <w:rStyle w:val="Style9"/>
            <w:rFonts w:eastAsia="inter" w:cs="inter" w:ascii="Liberation Sans" w:hAnsi="Liberation Sans"/>
            <w:color w:val="auto"/>
            <w:sz w:val="28"/>
            <w:szCs w:val="28"/>
            <w:u w:val="single"/>
            <w:vertAlign w:val="superscript"/>
          </w:rPr>
          <w:t>[14]</w:t>
        </w:r>
      </w:hyperlink>
      <w:r>
        <w:rPr>
          <w:rFonts w:eastAsia="inter" w:cs="inter" w:ascii="Liberation Sans" w:hAnsi="Liberation Sans"/>
          <w:color w:val="auto"/>
          <w:sz w:val="28"/>
          <w:szCs w:val="28"/>
        </w:rPr>
        <w:t>. Windows Timer Resolution should be configured to maximum precision to ensure accurate timestamps and scheduling for time-sensitive trading operations.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Programming Languages and Frameworks</w:t>
      </w:r>
    </w:p>
    <w:p>
      <w:pPr>
        <w:pStyle w:val="Normal"/>
        <w:spacing w:lineRule="auto" w:line="360" w:before="0" w:after="210"/>
        <w:rPr/>
      </w:pPr>
      <w:r>
        <w:rPr>
          <w:rFonts w:eastAsia="inter" w:cs="inter" w:ascii="Liberation Sans" w:hAnsi="Liberation Sans"/>
          <w:color w:val="auto"/>
          <w:sz w:val="28"/>
          <w:szCs w:val="28"/>
        </w:rPr>
        <w:t>The core trading engine should be implemented in C++ for maximum performance, utilizing modern C17 or C20 standards to leverage advanced language features while maintaining backward compatibility</w:t>
      </w:r>
      <w:hyperlink w:anchor="fn10">
        <w:bookmarkStart w:id="28" w:name="fnref10%3A2"/>
        <w:bookmarkEnd w:id="28"/>
        <w:r>
          <w:rPr>
            <w:rStyle w:val="Style9"/>
            <w:rFonts w:eastAsia="inter" w:cs="inter" w:ascii="Liberation Sans" w:hAnsi="Liberation Sans"/>
            <w:color w:val="auto"/>
            <w:sz w:val="28"/>
            <w:szCs w:val="28"/>
            <w:u w:val="single"/>
            <w:vertAlign w:val="superscript"/>
          </w:rPr>
          <w:t>[10]</w:t>
        </w:r>
      </w:hyperlink>
      <w:hyperlink w:anchor="fn16">
        <w:bookmarkStart w:id="29" w:name="fnref16"/>
        <w:bookmarkEnd w:id="29"/>
        <w:r>
          <w:rPr>
            <w:rStyle w:val="Style9"/>
            <w:rFonts w:eastAsia="inter" w:cs="inter" w:ascii="Liberation Sans" w:hAnsi="Liberation Sans"/>
            <w:color w:val="auto"/>
            <w:sz w:val="28"/>
            <w:szCs w:val="28"/>
            <w:u w:val="single"/>
            <w:vertAlign w:val="superscript"/>
          </w:rPr>
          <w:t>[16]</w:t>
        </w:r>
      </w:hyperlink>
      <w:r>
        <w:rPr>
          <w:rFonts w:eastAsia="inter" w:cs="inter" w:ascii="Liberation Sans" w:hAnsi="Liberation Sans"/>
          <w:color w:val="auto"/>
          <w:sz w:val="28"/>
          <w:szCs w:val="28"/>
        </w:rPr>
        <w:t>. C++ provides direct memory management capabilities, minimal runtime overhead, and access to low-level system optimizations essential for ultra-low latency applications. Template metaprogramming and compile-time optimizations can eliminate runtime decision overhead in performance-critical code paths.</w:t>
      </w:r>
    </w:p>
    <w:p>
      <w:pPr>
        <w:pStyle w:val="Normal"/>
        <w:spacing w:lineRule="auto" w:line="360" w:before="0" w:after="210"/>
        <w:rPr/>
      </w:pPr>
      <w:r>
        <w:rPr>
          <w:rFonts w:eastAsia="inter" w:cs="inter" w:ascii="Liberation Sans" w:hAnsi="Liberation Sans"/>
          <w:color w:val="auto"/>
          <w:sz w:val="28"/>
          <w:szCs w:val="28"/>
        </w:rPr>
        <w:t>Python integration through C++ bindings enables rapid strategy development and backtesting while maintaining performance for execution-critical components</w:t>
      </w:r>
      <w:hyperlink w:anchor="fn9">
        <w:bookmarkStart w:id="30" w:name="fnref9%3A1"/>
        <w:bookmarkEnd w:id="30"/>
        <w:r>
          <w:rPr>
            <w:rStyle w:val="Style9"/>
            <w:rFonts w:eastAsia="inter" w:cs="inter" w:ascii="Liberation Sans" w:hAnsi="Liberation Sans"/>
            <w:color w:val="auto"/>
            <w:sz w:val="28"/>
            <w:szCs w:val="28"/>
            <w:u w:val="single"/>
            <w:vertAlign w:val="superscript"/>
          </w:rPr>
          <w:t>[9]</w:t>
        </w:r>
      </w:hyperlink>
      <w:r>
        <w:rPr>
          <w:rFonts w:eastAsia="inter" w:cs="inter" w:ascii="Liberation Sans" w:hAnsi="Liberation Sans"/>
          <w:color w:val="auto"/>
          <w:sz w:val="28"/>
          <w:szCs w:val="28"/>
        </w:rPr>
        <w:t>. The hybrid approach allows quantitative analysts to develop and test strategies in Python's rich ecosystem of financial libraries while ensuring production execution occurs in optimized C++ code. JavaScript SDK integration provides additional flexibility for web-based interfaces and rapid prototyping of trading algorithms</w:t>
      </w:r>
      <w:hyperlink w:anchor="fn16">
        <w:bookmarkStart w:id="31" w:name="fnref16%3A1"/>
        <w:bookmarkEnd w:id="31"/>
        <w:r>
          <w:rPr>
            <w:rStyle w:val="Style9"/>
            <w:rFonts w:eastAsia="inter" w:cs="inter" w:ascii="Liberation Sans" w:hAnsi="Liberation Sans"/>
            <w:color w:val="auto"/>
            <w:sz w:val="28"/>
            <w:szCs w:val="28"/>
            <w:u w:val="single"/>
            <w:vertAlign w:val="superscript"/>
          </w:rPr>
          <w:t>[16]</w:t>
        </w:r>
      </w:hyperlink>
      <w:r>
        <w:rPr>
          <w:rFonts w:eastAsia="inter" w:cs="inter" w:ascii="Liberation Sans" w:hAnsi="Liberation Sans"/>
          <w:color w:val="auto"/>
          <w:sz w:val="28"/>
          <w:szCs w:val="28"/>
        </w:rPr>
        <w: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Real-time market data processing requires efficient serialization frameworks such as Protocol Buffers or Apache Avro to minimize parsing overhead when processing high-volume market feeds. Lock-free programming techniques using atomic operations and memory barriers ensure thread safety without the performance penalties associated with traditional mutex-based synchronization.</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Database and Data Management</w:t>
      </w:r>
    </w:p>
    <w:p>
      <w:pPr>
        <w:pStyle w:val="Normal"/>
        <w:spacing w:lineRule="auto" w:line="360" w:before="0" w:after="210"/>
        <w:rPr/>
      </w:pPr>
      <w:r>
        <w:rPr>
          <w:rFonts w:eastAsia="inter" w:cs="inter" w:ascii="Liberation Sans" w:hAnsi="Liberation Sans"/>
          <w:color w:val="auto"/>
          <w:sz w:val="28"/>
          <w:szCs w:val="28"/>
        </w:rPr>
        <w:t>Time-series databases optimized for financial data storage and retrieval are essential for managing the massive volumes of market data and trading history required for analysis and regulatory compliance</w:t>
      </w:r>
      <w:hyperlink w:anchor="fn9">
        <w:bookmarkStart w:id="32" w:name="fnref9%3A2"/>
        <w:bookmarkEnd w:id="32"/>
        <w:r>
          <w:rPr>
            <w:rStyle w:val="Style9"/>
            <w:rFonts w:eastAsia="inter" w:cs="inter" w:ascii="Liberation Sans" w:hAnsi="Liberation Sans"/>
            <w:color w:val="auto"/>
            <w:sz w:val="28"/>
            <w:szCs w:val="28"/>
            <w:u w:val="single"/>
            <w:vertAlign w:val="superscript"/>
          </w:rPr>
          <w:t>[9]</w:t>
        </w:r>
      </w:hyperlink>
      <w:r>
        <w:rPr>
          <w:rFonts w:eastAsia="inter" w:cs="inter" w:ascii="Liberation Sans" w:hAnsi="Liberation Sans"/>
          <w:color w:val="auto"/>
          <w:sz w:val="28"/>
          <w:szCs w:val="28"/>
        </w:rPr>
        <w:t>. Solutions such as InfluxDB, TimescaleDB, or specialized financial databases like KDB+ provide the performance characteristics necessary for real-time analytics and historical data queries. Data partitioning strategies must account for regulatory retention requirements while optimizing query performance for recent trading data.</w:t>
      </w:r>
    </w:p>
    <w:p>
      <w:pPr>
        <w:pStyle w:val="Normal"/>
        <w:spacing w:lineRule="auto" w:line="360" w:before="0" w:after="210"/>
        <w:rPr/>
      </w:pPr>
      <w:r>
        <w:rPr>
          <w:rFonts w:eastAsia="inter" w:cs="inter" w:ascii="Liberation Sans" w:hAnsi="Liberation Sans"/>
          <w:color w:val="auto"/>
          <w:sz w:val="28"/>
          <w:szCs w:val="28"/>
        </w:rPr>
        <w:t>In-memory data grids enable ultra-fast access to frequently used reference data, market data, and position information without the latency penalties associated with disk-based storage</w:t>
      </w:r>
      <w:hyperlink w:anchor="fn9">
        <w:bookmarkStart w:id="33" w:name="fnref9%3A3"/>
        <w:bookmarkEnd w:id="33"/>
        <w:r>
          <w:rPr>
            <w:rStyle w:val="Style9"/>
            <w:rFonts w:eastAsia="inter" w:cs="inter" w:ascii="Liberation Sans" w:hAnsi="Liberation Sans"/>
            <w:color w:val="auto"/>
            <w:sz w:val="28"/>
            <w:szCs w:val="28"/>
            <w:u w:val="single"/>
            <w:vertAlign w:val="superscript"/>
          </w:rPr>
          <w:t>[9]</w:t>
        </w:r>
      </w:hyperlink>
      <w:r>
        <w:rPr>
          <w:rFonts w:eastAsia="inter" w:cs="inter" w:ascii="Liberation Sans" w:hAnsi="Liberation Sans"/>
          <w:color w:val="auto"/>
          <w:sz w:val="28"/>
          <w:szCs w:val="28"/>
        </w:rPr>
        <w:t>. Redis or Apache Ignite can provide distributed caching layers that maintain consistency across multiple trading instances while delivering microsecond-level data access times. Data replication and backup strategies must ensure business continuity while meeting regulatory requirements for data retention and disaster recovery.</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Market data normalization engines must process and standardize data feeds from multiple sources, handling format differences, timestamp alignment, and data quality validation in real-time. The system must accommodate various data formats including FIX messages, proprietary binary protocols, and standardized market data formats while maintaining processing efficiency under high data volumes.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Order Management and Execution Systems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Order Management System (OMS) Architecture</w:t>
      </w:r>
    </w:p>
    <w:p>
      <w:pPr>
        <w:pStyle w:val="Normal"/>
        <w:spacing w:lineRule="auto" w:line="360" w:before="0" w:after="210"/>
        <w:rPr/>
      </w:pPr>
      <w:r>
        <w:rPr>
          <w:rFonts w:eastAsia="inter" w:cs="inter" w:ascii="Liberation Sans" w:hAnsi="Liberation Sans"/>
          <w:color w:val="auto"/>
          <w:sz w:val="28"/>
          <w:szCs w:val="28"/>
        </w:rPr>
        <w:t>The Order Management System serves as the central hub for all trading activities, managing order lifecycle from creation through execution and settlement</w:t>
      </w:r>
      <w:hyperlink w:anchor="fn3">
        <w:bookmarkStart w:id="34" w:name="fnref3%3A1"/>
        <w:bookmarkEnd w:id="34"/>
        <w:r>
          <w:rPr>
            <w:rStyle w:val="Style9"/>
            <w:rFonts w:eastAsia="inter" w:cs="inter" w:ascii="Liberation Sans" w:hAnsi="Liberation Sans"/>
            <w:color w:val="auto"/>
            <w:sz w:val="28"/>
            <w:szCs w:val="28"/>
            <w:u w:val="single"/>
            <w:vertAlign w:val="superscript"/>
          </w:rPr>
          <w:t>[3]</w:t>
        </w:r>
      </w:hyperlink>
      <w:hyperlink w:anchor="fn16">
        <w:bookmarkStart w:id="35" w:name="fnref16%3A2"/>
        <w:bookmarkEnd w:id="35"/>
        <w:r>
          <w:rPr>
            <w:rStyle w:val="Style9"/>
            <w:rFonts w:eastAsia="inter" w:cs="inter" w:ascii="Liberation Sans" w:hAnsi="Liberation Sans"/>
            <w:color w:val="auto"/>
            <w:sz w:val="28"/>
            <w:szCs w:val="28"/>
            <w:u w:val="single"/>
            <w:vertAlign w:val="superscript"/>
          </w:rPr>
          <w:t>[16]</w:t>
        </w:r>
      </w:hyperlink>
      <w:r>
        <w:rPr>
          <w:rFonts w:eastAsia="inter" w:cs="inter" w:ascii="Liberation Sans" w:hAnsi="Liberation Sans"/>
          <w:color w:val="auto"/>
          <w:sz w:val="28"/>
          <w:szCs w:val="28"/>
        </w:rPr>
        <w:t>. The OMS must support complex order types including stop-loss, take-profit, bracket orders, and conditional orders that execute based on technical indicators or market conditions. Order routing logic must intelligently select execution venues based on real-time market conditions, historical execution quality, and cost analysis.</w:t>
      </w:r>
    </w:p>
    <w:p>
      <w:pPr>
        <w:pStyle w:val="Normal"/>
        <w:spacing w:lineRule="auto" w:line="360" w:before="0" w:after="210"/>
        <w:rPr/>
      </w:pPr>
      <w:r>
        <w:rPr>
          <w:rFonts w:eastAsia="inter" w:cs="inter" w:ascii="Liberation Sans" w:hAnsi="Liberation Sans"/>
          <w:color w:val="auto"/>
          <w:sz w:val="28"/>
          <w:szCs w:val="28"/>
        </w:rPr>
        <w:t>Position management capabilities must provide real-time tracking of holdings across multiple accounts and strategies, including accurate profit/loss calculations, margin requirements, and risk exposure metrics</w:t>
      </w:r>
      <w:hyperlink w:anchor="fn17">
        <w:bookmarkStart w:id="36" w:name="fnref17"/>
        <w:bookmarkEnd w:id="36"/>
        <w:r>
          <w:rPr>
            <w:rStyle w:val="Style9"/>
            <w:rFonts w:eastAsia="inter" w:cs="inter" w:ascii="Liberation Sans" w:hAnsi="Liberation Sans"/>
            <w:color w:val="auto"/>
            <w:sz w:val="28"/>
            <w:szCs w:val="28"/>
            <w:u w:val="single"/>
            <w:vertAlign w:val="superscript"/>
          </w:rPr>
          <w:t>[17]</w:t>
        </w:r>
      </w:hyperlink>
      <w:r>
        <w:rPr>
          <w:rFonts w:eastAsia="inter" w:cs="inter" w:ascii="Liberation Sans" w:hAnsi="Liberation Sans"/>
          <w:color w:val="auto"/>
          <w:sz w:val="28"/>
          <w:szCs w:val="28"/>
        </w:rPr>
        <w:t>. The system must maintain accurate position reconciliation with clearing firms and prime brokers, detecting and alerting on any discrepancies that could indicate operational errors or system failures.</w:t>
      </w:r>
    </w:p>
    <w:p>
      <w:pPr>
        <w:pStyle w:val="Normal"/>
        <w:spacing w:lineRule="auto" w:line="360" w:before="0" w:after="210"/>
        <w:rPr/>
      </w:pPr>
      <w:r>
        <w:rPr>
          <w:rFonts w:eastAsia="inter" w:cs="inter" w:ascii="Liberation Sans" w:hAnsi="Liberation Sans"/>
          <w:color w:val="auto"/>
          <w:sz w:val="28"/>
          <w:szCs w:val="28"/>
        </w:rPr>
        <w:t>Order book management requires efficient data structures to maintain sorted price levels with minimal computational overhead during high-frequency updates</w:t>
      </w:r>
      <w:hyperlink w:anchor="fn2">
        <w:bookmarkStart w:id="37" w:name="fnref2%3A2"/>
        <w:bookmarkEnd w:id="37"/>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The system must handle order modifications, cancellations, and partial fills while maintaining accurate order state and audit trails for regulatory compliance. Integration with risk management systems must occur at the order level, preventing orders that violate predefined risk parameters from reaching the market.</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FIX Protocol Implementation</w:t>
      </w:r>
    </w:p>
    <w:p>
      <w:pPr>
        <w:pStyle w:val="Normal"/>
        <w:spacing w:lineRule="auto" w:line="360" w:before="0" w:after="210"/>
        <w:rPr/>
      </w:pPr>
      <w:r>
        <w:rPr>
          <w:rFonts w:eastAsia="inter" w:cs="inter" w:ascii="Liberation Sans" w:hAnsi="Liberation Sans"/>
          <w:color w:val="auto"/>
          <w:sz w:val="28"/>
          <w:szCs w:val="28"/>
        </w:rPr>
        <w:t>Financial Information eXchange (FIX) protocol implementation provides standardized connectivity to trading venues, brokers, and market data providers</w:t>
      </w:r>
      <w:hyperlink w:anchor="fn3">
        <w:bookmarkStart w:id="38" w:name="fnref3%3A2"/>
        <w:bookmarkEnd w:id="38"/>
        <w:r>
          <w:rPr>
            <w:rStyle w:val="Style9"/>
            <w:rFonts w:eastAsia="inter" w:cs="inter" w:ascii="Liberation Sans" w:hAnsi="Liberation Sans"/>
            <w:color w:val="auto"/>
            <w:sz w:val="28"/>
            <w:szCs w:val="28"/>
            <w:u w:val="single"/>
            <w:vertAlign w:val="superscript"/>
          </w:rPr>
          <w:t>[3]</w:t>
        </w:r>
      </w:hyperlink>
      <w:hyperlink w:anchor="fn4">
        <w:bookmarkStart w:id="39" w:name="fnref4%3A1"/>
        <w:bookmarkEnd w:id="39"/>
        <w:r>
          <w:rPr>
            <w:rStyle w:val="Style9"/>
            <w:rFonts w:eastAsia="inter" w:cs="inter" w:ascii="Liberation Sans" w:hAnsi="Liberation Sans"/>
            <w:color w:val="auto"/>
            <w:sz w:val="28"/>
            <w:szCs w:val="28"/>
            <w:u w:val="single"/>
            <w:vertAlign w:val="superscript"/>
          </w:rPr>
          <w:t>[4]</w:t>
        </w:r>
      </w:hyperlink>
      <w:r>
        <w:rPr>
          <w:rFonts w:eastAsia="inter" w:cs="inter" w:ascii="Liberation Sans" w:hAnsi="Liberation Sans"/>
          <w:color w:val="auto"/>
          <w:sz w:val="28"/>
          <w:szCs w:val="28"/>
        </w:rPr>
        <w:t>. The FIX engine must support session management, message sequencing, and heartbeat monitoring to ensure reliable connectivity under various network conditions. Message parsing and generation must be optimized for minimal latency while maintaining protocol compliance across different FIX versions and vendor-specific customizations.</w:t>
      </w:r>
    </w:p>
    <w:p>
      <w:pPr>
        <w:pStyle w:val="Normal"/>
        <w:spacing w:lineRule="auto" w:line="360" w:before="0" w:after="210"/>
        <w:rPr/>
      </w:pPr>
      <w:r>
        <w:rPr>
          <w:rFonts w:eastAsia="inter" w:cs="inter" w:ascii="Liberation Sans" w:hAnsi="Liberation Sans"/>
          <w:color w:val="auto"/>
          <w:sz w:val="28"/>
          <w:szCs w:val="28"/>
        </w:rPr>
        <w:t>Session management includes automatic logon/logout procedures, sequence number synchronization, and gap fill processing to handle network disconnections gracefully</w:t>
      </w:r>
      <w:hyperlink w:anchor="fn3">
        <w:bookmarkStart w:id="40" w:name="fnref3%3A3"/>
        <w:bookmarkEnd w:id="40"/>
        <w:r>
          <w:rPr>
            <w:rStyle w:val="Style9"/>
            <w:rFonts w:eastAsia="inter" w:cs="inter" w:ascii="Liberation Sans" w:hAnsi="Liberation Sans"/>
            <w:color w:val="auto"/>
            <w:sz w:val="28"/>
            <w:szCs w:val="28"/>
            <w:u w:val="single"/>
            <w:vertAlign w:val="superscript"/>
          </w:rPr>
          <w:t>[3]</w:t>
        </w:r>
      </w:hyperlink>
      <w:r>
        <w:rPr>
          <w:rFonts w:eastAsia="inter" w:cs="inter" w:ascii="Liberation Sans" w:hAnsi="Liberation Sans"/>
          <w:color w:val="auto"/>
          <w:sz w:val="28"/>
          <w:szCs w:val="28"/>
        </w:rPr>
        <w:t>. The FIX engine must implement proper error handling for reject messages, business rejects, and system failures while maintaining message integrity and preventing duplicate order submissions. Certification testing with each trading venue ensures compatibility and optimal performance characteristics.</w:t>
      </w:r>
    </w:p>
    <w:p>
      <w:pPr>
        <w:pStyle w:val="Normal"/>
        <w:spacing w:lineRule="auto" w:line="360" w:before="0" w:after="210"/>
        <w:rPr/>
      </w:pPr>
      <w:r>
        <w:rPr>
          <w:rFonts w:eastAsia="inter" w:cs="inter" w:ascii="Liberation Sans" w:hAnsi="Liberation Sans"/>
          <w:color w:val="auto"/>
          <w:sz w:val="28"/>
          <w:szCs w:val="28"/>
        </w:rPr>
        <w:t>Custom FIX message handling accommodates vendor-specific protocol extensions and proprietary order types that may not be covered by standard FIX specifications</w:t>
      </w:r>
      <w:hyperlink w:anchor="fn4">
        <w:bookmarkStart w:id="41" w:name="fnref4%3A2"/>
        <w:bookmarkEnd w:id="41"/>
        <w:r>
          <w:rPr>
            <w:rStyle w:val="Style9"/>
            <w:rFonts w:eastAsia="inter" w:cs="inter" w:ascii="Liberation Sans" w:hAnsi="Liberation Sans"/>
            <w:color w:val="auto"/>
            <w:sz w:val="28"/>
            <w:szCs w:val="28"/>
            <w:u w:val="single"/>
            <w:vertAlign w:val="superscript"/>
          </w:rPr>
          <w:t>[4]</w:t>
        </w:r>
      </w:hyperlink>
      <w:r>
        <w:rPr>
          <w:rFonts w:eastAsia="inter" w:cs="inter" w:ascii="Liberation Sans" w:hAnsi="Liberation Sans"/>
          <w:color w:val="auto"/>
          <w:sz w:val="28"/>
          <w:szCs w:val="28"/>
        </w:rPr>
        <w:t>. The system must support configurable message routing, field mapping, and transformation rules to adapt to different venue requirements without requiring code changes for each new connectivity.</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Smart Order Routing and Execution Algorithms</w:t>
      </w:r>
    </w:p>
    <w:p>
      <w:pPr>
        <w:pStyle w:val="Normal"/>
        <w:spacing w:lineRule="auto" w:line="360" w:before="0" w:after="210"/>
        <w:rPr/>
      </w:pPr>
      <w:r>
        <w:rPr>
          <w:rFonts w:eastAsia="inter" w:cs="inter" w:ascii="Liberation Sans" w:hAnsi="Liberation Sans"/>
          <w:color w:val="auto"/>
          <w:sz w:val="28"/>
          <w:szCs w:val="28"/>
        </w:rPr>
        <w:t>Smart Order Routing (SOR) algorithms analyze real-time market conditions across multiple venues to optimize execution quality and minimize market impact</w:t>
      </w:r>
      <w:hyperlink w:anchor="fn2">
        <w:bookmarkStart w:id="42" w:name="fnref2%3A3"/>
        <w:bookmarkEnd w:id="42"/>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The routing engine must consider factors including displayed liquidity, hidden order activity, historical execution quality, and venue-specific latency characteristics when selecting optimal execution destinations. Machine learning techniques can enhance routing decisions by identifying patterns in market microstructure and execution outcomes.</w:t>
      </w:r>
    </w:p>
    <w:p>
      <w:pPr>
        <w:pStyle w:val="Normal"/>
        <w:spacing w:lineRule="auto" w:line="360" w:before="0" w:after="210"/>
        <w:rPr/>
      </w:pPr>
      <w:r>
        <w:rPr>
          <w:rFonts w:eastAsia="inter" w:cs="inter" w:ascii="Liberation Sans" w:hAnsi="Liberation Sans"/>
          <w:color w:val="auto"/>
          <w:sz w:val="28"/>
          <w:szCs w:val="28"/>
        </w:rPr>
        <w:t>Execution algorithms must implement sophisticated strategies for large order handling, including iceberg orders that display small quantities while hiding larger underlying orders, and participation rate algorithms that control execution timing based on market volume patterns</w:t>
      </w:r>
      <w:hyperlink w:anchor="fn5">
        <w:bookmarkStart w:id="43" w:name="fnref5%3A3"/>
        <w:bookmarkEnd w:id="43"/>
        <w:r>
          <w:rPr>
            <w:rStyle w:val="Style9"/>
            <w:rFonts w:eastAsia="inter" w:cs="inter" w:ascii="Liberation Sans" w:hAnsi="Liberation Sans"/>
            <w:color w:val="auto"/>
            <w:sz w:val="28"/>
            <w:szCs w:val="28"/>
            <w:u w:val="single"/>
            <w:vertAlign w:val="superscript"/>
          </w:rPr>
          <w:t>[5]</w:t>
        </w:r>
      </w:hyperlink>
      <w:r>
        <w:rPr>
          <w:rFonts w:eastAsia="inter" w:cs="inter" w:ascii="Liberation Sans" w:hAnsi="Liberation Sans"/>
          <w:color w:val="auto"/>
          <w:sz w:val="28"/>
          <w:szCs w:val="28"/>
        </w:rPr>
        <w:t>. The system must support custom algorithm development through scripting interfaces that allow traders to implement proprietary execution strategies without requiring core system modifications.</w:t>
      </w:r>
    </w:p>
    <w:p>
      <w:pPr>
        <w:pStyle w:val="Normal"/>
        <w:spacing w:lineRule="auto" w:line="360" w:before="0" w:after="210"/>
        <w:rPr/>
      </w:pPr>
      <w:r>
        <w:rPr>
          <w:rFonts w:eastAsia="inter" w:cs="inter" w:ascii="Liberation Sans" w:hAnsi="Liberation Sans"/>
          <w:color w:val="auto"/>
          <w:sz w:val="28"/>
          <w:szCs w:val="28"/>
        </w:rPr>
        <w:t>Market impact modeling provides real-time estimates of price movement likely to result from order execution, enabling dynamic adjustment of execution strategies based on current market conditions</w:t>
      </w:r>
      <w:hyperlink w:anchor="fn2">
        <w:bookmarkStart w:id="44" w:name="fnref2%3A4"/>
        <w:bookmarkEnd w:id="44"/>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The system must integrate with Transaction Cost Analysis (TCA) tools to measure execution quality against various benchmarks and continuously improve routing and execution algorithms based on historical performance data.</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Risk Management and Compliance Systems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Real-Time Risk Monitoring</w:t>
      </w:r>
    </w:p>
    <w:p>
      <w:pPr>
        <w:pStyle w:val="Normal"/>
        <w:spacing w:lineRule="auto" w:line="360" w:before="0" w:after="210"/>
        <w:rPr/>
      </w:pPr>
      <w:r>
        <w:rPr>
          <w:rFonts w:eastAsia="inter" w:cs="inter" w:ascii="Liberation Sans" w:hAnsi="Liberation Sans"/>
          <w:color w:val="auto"/>
          <w:sz w:val="28"/>
          <w:szCs w:val="28"/>
        </w:rPr>
        <w:t>Comprehensive risk management systems must monitor trading activities in real-time, implementing pre-trade risk checks that prevent orders violating established risk parameters from reaching the market</w:t>
      </w:r>
      <w:hyperlink w:anchor="fn17">
        <w:bookmarkStart w:id="45" w:name="fnref17%3A1"/>
        <w:bookmarkEnd w:id="45"/>
        <w:r>
          <w:rPr>
            <w:rStyle w:val="Style9"/>
            <w:rFonts w:eastAsia="inter" w:cs="inter" w:ascii="Liberation Sans" w:hAnsi="Liberation Sans"/>
            <w:color w:val="auto"/>
            <w:sz w:val="28"/>
            <w:szCs w:val="28"/>
            <w:u w:val="single"/>
            <w:vertAlign w:val="superscript"/>
          </w:rPr>
          <w:t>[17]</w:t>
        </w:r>
      </w:hyperlink>
      <w:r>
        <w:rPr>
          <w:rFonts w:eastAsia="inter" w:cs="inter" w:ascii="Liberation Sans" w:hAnsi="Liberation Sans"/>
          <w:color w:val="auto"/>
          <w:sz w:val="28"/>
          <w:szCs w:val="28"/>
        </w:rPr>
        <w:t>. Position limits, concentration limits, and sector exposure limits must be enforced at multiple levels including individual trader, strategy, and firm-wide limits. The system must calculate Value at Risk (VaR) and Expected Shortfall measures using both historical and Monte Carlo simulation methods to assess potential losses under various market scenarios.</w:t>
      </w:r>
    </w:p>
    <w:p>
      <w:pPr>
        <w:pStyle w:val="Normal"/>
        <w:spacing w:lineRule="auto" w:line="360" w:before="0" w:after="210"/>
        <w:rPr/>
      </w:pPr>
      <w:r>
        <w:rPr>
          <w:rFonts w:eastAsia="inter" w:cs="inter" w:ascii="Liberation Sans" w:hAnsi="Liberation Sans"/>
          <w:color w:val="auto"/>
          <w:sz w:val="28"/>
          <w:szCs w:val="28"/>
        </w:rPr>
        <w:t>Dynamic risk adjustment capabilities must respond to changing market conditions by automatically adjusting position limits and risk parameters based on volatility measures, correlation changes, and liquidity conditions</w:t>
      </w:r>
      <w:hyperlink w:anchor="fn17">
        <w:bookmarkStart w:id="46" w:name="fnref17%3A2"/>
        <w:bookmarkEnd w:id="46"/>
        <w:r>
          <w:rPr>
            <w:rStyle w:val="Style9"/>
            <w:rFonts w:eastAsia="inter" w:cs="inter" w:ascii="Liberation Sans" w:hAnsi="Liberation Sans"/>
            <w:color w:val="auto"/>
            <w:sz w:val="28"/>
            <w:szCs w:val="28"/>
            <w:u w:val="single"/>
            <w:vertAlign w:val="superscript"/>
          </w:rPr>
          <w:t>[17]</w:t>
        </w:r>
      </w:hyperlink>
      <w:r>
        <w:rPr>
          <w:rFonts w:eastAsia="inter" w:cs="inter" w:ascii="Liberation Sans" w:hAnsi="Liberation Sans"/>
          <w:color w:val="auto"/>
          <w:sz w:val="28"/>
          <w:szCs w:val="28"/>
        </w:rPr>
        <w:t>. Stop-loss and take-profit orders must be automatically generated and managed based on predefined risk tolerances and profit targets, with the ability to modify these parameters dynamically as market conditions evolve.</w:t>
      </w:r>
    </w:p>
    <w:p>
      <w:pPr>
        <w:pStyle w:val="Normal"/>
        <w:spacing w:lineRule="auto" w:line="360" w:before="0" w:after="210"/>
        <w:rPr/>
      </w:pPr>
      <w:r>
        <w:rPr>
          <w:rFonts w:eastAsia="inter" w:cs="inter" w:ascii="Liberation Sans" w:hAnsi="Liberation Sans"/>
          <w:color w:val="auto"/>
          <w:sz w:val="28"/>
          <w:szCs w:val="28"/>
        </w:rPr>
        <w:t>Credit risk monitoring for margin accounts must track real-time buying power, margin requirements, and potential margin calls to prevent account violations that could result in forced liquidations</w:t>
      </w:r>
      <w:hyperlink w:anchor="fn17">
        <w:bookmarkStart w:id="47" w:name="fnref17%3A3"/>
        <w:bookmarkEnd w:id="47"/>
        <w:r>
          <w:rPr>
            <w:rStyle w:val="Style9"/>
            <w:rFonts w:eastAsia="inter" w:cs="inter" w:ascii="Liberation Sans" w:hAnsi="Liberation Sans"/>
            <w:color w:val="auto"/>
            <w:sz w:val="28"/>
            <w:szCs w:val="28"/>
            <w:u w:val="single"/>
            <w:vertAlign w:val="superscript"/>
          </w:rPr>
          <w:t>[17]</w:t>
        </w:r>
      </w:hyperlink>
      <w:r>
        <w:rPr>
          <w:rFonts w:eastAsia="inter" w:cs="inter" w:ascii="Liberation Sans" w:hAnsi="Liberation Sans"/>
          <w:color w:val="auto"/>
          <w:sz w:val="28"/>
          <w:szCs w:val="28"/>
        </w:rPr>
        <w:t>. Integration with prime broker systems ensures accurate real-time margin calculations and position reconciliation across multiple clearing relationships.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Compliance Monitoring and Reporting</w:t>
      </w:r>
    </w:p>
    <w:p>
      <w:pPr>
        <w:pStyle w:val="Normal"/>
        <w:spacing w:lineRule="auto" w:line="360" w:before="0" w:after="210"/>
        <w:rPr/>
      </w:pPr>
      <w:r>
        <w:rPr>
          <w:rFonts w:eastAsia="inter" w:cs="inter" w:ascii="Liberation Sans" w:hAnsi="Liberation Sans"/>
          <w:color w:val="auto"/>
          <w:sz w:val="28"/>
          <w:szCs w:val="28"/>
        </w:rPr>
        <w:t>Automated compliance monitoring must detect potential violations of regulatory requirements including wash sale rules, pattern day trading regulations, and market manipulation indicators</w:t>
      </w:r>
      <w:hyperlink w:anchor="fn17">
        <w:bookmarkStart w:id="48" w:name="fnref17%3A4"/>
        <w:bookmarkEnd w:id="48"/>
        <w:r>
          <w:rPr>
            <w:rStyle w:val="Style9"/>
            <w:rFonts w:eastAsia="inter" w:cs="inter" w:ascii="Liberation Sans" w:hAnsi="Liberation Sans"/>
            <w:color w:val="auto"/>
            <w:sz w:val="28"/>
            <w:szCs w:val="28"/>
            <w:u w:val="single"/>
            <w:vertAlign w:val="superscript"/>
          </w:rPr>
          <w:t>[17]</w:t>
        </w:r>
      </w:hyperlink>
      <w:r>
        <w:rPr>
          <w:rFonts w:eastAsia="inter" w:cs="inter" w:ascii="Liberation Sans" w:hAnsi="Liberation Sans"/>
          <w:color w:val="auto"/>
          <w:sz w:val="28"/>
          <w:szCs w:val="28"/>
        </w:rPr>
        <w:t>. The system must maintain comprehensive audit trails of all trading decisions, including the rationale for automated trading actions and human intervention events. Best execution analysis must continuously evaluate execution quality against regulatory requirements and internal benchmarks.</w:t>
      </w:r>
    </w:p>
    <w:p>
      <w:pPr>
        <w:pStyle w:val="Normal"/>
        <w:spacing w:lineRule="auto" w:line="360" w:before="0" w:after="210"/>
        <w:rPr/>
      </w:pPr>
      <w:r>
        <w:rPr>
          <w:rFonts w:eastAsia="inter" w:cs="inter" w:ascii="Liberation Sans" w:hAnsi="Liberation Sans"/>
          <w:color w:val="auto"/>
          <w:sz w:val="28"/>
          <w:szCs w:val="28"/>
        </w:rPr>
        <w:t>Trade reporting capabilities must support real-time and end-of-day regulatory reporting requirements across multiple jurisdictions</w:t>
      </w:r>
      <w:hyperlink w:anchor="fn1">
        <w:bookmarkStart w:id="49" w:name="fnref1%3A2"/>
        <w:bookmarkEnd w:id="49"/>
        <w:r>
          <w:rPr>
            <w:rStyle w:val="Style9"/>
            <w:rFonts w:eastAsia="inter" w:cs="inter" w:ascii="Liberation Sans" w:hAnsi="Liberation Sans"/>
            <w:color w:val="auto"/>
            <w:sz w:val="28"/>
            <w:szCs w:val="28"/>
            <w:u w:val="single"/>
            <w:vertAlign w:val="superscript"/>
          </w:rPr>
          <w:t>[1]</w:t>
        </w:r>
      </w:hyperlink>
      <w:r>
        <w:rPr>
          <w:rFonts w:eastAsia="inter" w:cs="inter" w:ascii="Liberation Sans" w:hAnsi="Liberation Sans"/>
          <w:color w:val="auto"/>
          <w:sz w:val="28"/>
          <w:szCs w:val="28"/>
        </w:rPr>
        <w:t>. The system must generate required reports for FINRA, SEC, and other regulatory bodies while maintaining data accuracy and timeliness standards. Suspicious activity monitoring must detect unusual trading patterns that could indicate insider trading, market manipulation, or other prohibited activities.</w:t>
      </w:r>
    </w:p>
    <w:p>
      <w:pPr>
        <w:pStyle w:val="Normal"/>
        <w:spacing w:lineRule="auto" w:line="360" w:before="0" w:after="210"/>
        <w:rPr/>
      </w:pPr>
      <w:r>
        <w:rPr>
          <w:rFonts w:eastAsia="inter" w:cs="inter" w:ascii="Liberation Sans" w:hAnsi="Liberation Sans"/>
          <w:color w:val="auto"/>
          <w:sz w:val="28"/>
          <w:szCs w:val="28"/>
        </w:rPr>
        <w:t>Data retention and archival systems must maintain trading records for the required regulatory periods while ensuring data integrity and accessibility for audit purposes</w:t>
      </w:r>
      <w:hyperlink w:anchor="fn1">
        <w:bookmarkStart w:id="50" w:name="fnref1%3A3"/>
        <w:bookmarkEnd w:id="50"/>
        <w:r>
          <w:rPr>
            <w:rStyle w:val="Style9"/>
            <w:rFonts w:eastAsia="inter" w:cs="inter" w:ascii="Liberation Sans" w:hAnsi="Liberation Sans"/>
            <w:color w:val="auto"/>
            <w:sz w:val="28"/>
            <w:szCs w:val="28"/>
            <w:u w:val="single"/>
            <w:vertAlign w:val="superscript"/>
          </w:rPr>
          <w:t>[1]</w:t>
        </w:r>
      </w:hyperlink>
      <w:r>
        <w:rPr>
          <w:rFonts w:eastAsia="inter" w:cs="inter" w:ascii="Liberation Sans" w:hAnsi="Liberation Sans"/>
          <w:color w:val="auto"/>
          <w:sz w:val="28"/>
          <w:szCs w:val="28"/>
        </w:rPr>
        <w:t>. The system must support e-discovery capabilities for regulatory investigations and legal proceedings, with the ability to quickly retrieve and analyze historical trading data based on various search criteria.</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Performance Optimization and Monitoring</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Latency Measurement and Optimization</w:t>
      </w:r>
    </w:p>
    <w:p>
      <w:pPr>
        <w:pStyle w:val="Normal"/>
        <w:spacing w:lineRule="auto" w:line="360" w:before="0" w:after="210"/>
        <w:rPr/>
      </w:pPr>
      <w:r>
        <w:rPr>
          <w:rFonts w:eastAsia="inter" w:cs="inter" w:ascii="Liberation Sans" w:hAnsi="Liberation Sans"/>
          <w:color w:val="auto"/>
          <w:sz w:val="28"/>
          <w:szCs w:val="28"/>
        </w:rPr>
        <w:t>Comprehensive latency measurement systems must track performance at every stage of the trading pipeline, from market data receipt through order transmission and execution confirmation receipt</w:t>
      </w:r>
      <w:hyperlink w:anchor="fn5">
        <w:bookmarkStart w:id="51" w:name="fnref5%3A4"/>
        <w:bookmarkEnd w:id="51"/>
        <w:r>
          <w:rPr>
            <w:rStyle w:val="Style9"/>
            <w:rFonts w:eastAsia="inter" w:cs="inter" w:ascii="Liberation Sans" w:hAnsi="Liberation Sans"/>
            <w:color w:val="auto"/>
            <w:sz w:val="28"/>
            <w:szCs w:val="28"/>
            <w:u w:val="single"/>
            <w:vertAlign w:val="superscript"/>
          </w:rPr>
          <w:t>[5]</w:t>
        </w:r>
      </w:hyperlink>
      <w:hyperlink w:anchor="fn2">
        <w:bookmarkStart w:id="52" w:name="fnref2%3A5"/>
        <w:bookmarkEnd w:id="52"/>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Hardware timestamping at network interfaces provides microsecond-accurate measurements that eliminate software timing uncertainties. The system must distinguish between various latency components including network transmission, message parsing, decision processing, and order generation times.</w:t>
      </w:r>
    </w:p>
    <w:p>
      <w:pPr>
        <w:pStyle w:val="Normal"/>
        <w:spacing w:lineRule="auto" w:line="360" w:before="0" w:after="210"/>
        <w:rPr/>
      </w:pPr>
      <w:r>
        <w:rPr>
          <w:rFonts w:eastAsia="inter" w:cs="inter" w:ascii="Liberation Sans" w:hAnsi="Liberation Sans"/>
          <w:color w:val="auto"/>
          <w:sz w:val="28"/>
          <w:szCs w:val="28"/>
        </w:rPr>
        <w:t>Performance monitoring dashboards must provide real-time visibility into system performance metrics including latency percentiles, throughput rates, and error frequencies</w:t>
      </w:r>
      <w:hyperlink w:anchor="fn2">
        <w:bookmarkStart w:id="53" w:name="fnref2%3A6"/>
        <w:bookmarkEnd w:id="53"/>
        <w:r>
          <w:rPr>
            <w:rStyle w:val="Style9"/>
            <w:rFonts w:eastAsia="inter" w:cs="inter" w:ascii="Liberation Sans" w:hAnsi="Liberation Sans"/>
            <w:color w:val="auto"/>
            <w:sz w:val="28"/>
            <w:szCs w:val="28"/>
            <w:u w:val="single"/>
            <w:vertAlign w:val="superscript"/>
          </w:rPr>
          <w:t>[2]</w:t>
        </w:r>
      </w:hyperlink>
      <w:r>
        <w:rPr>
          <w:rFonts w:eastAsia="inter" w:cs="inter" w:ascii="Liberation Sans" w:hAnsi="Liberation Sans"/>
          <w:color w:val="auto"/>
          <w:sz w:val="28"/>
          <w:szCs w:val="28"/>
        </w:rPr>
        <w:t>. Alerting systems must notify operators when performance degrades beyond acceptable thresholds, enabling rapid response to prevent trading losses due to system delays. Historical performance analysis helps identify trends and optimization opportunities while ensuring compliance with service level agreements.</w:t>
      </w:r>
    </w:p>
    <w:p>
      <w:pPr>
        <w:pStyle w:val="Normal"/>
        <w:spacing w:lineRule="auto" w:line="360" w:before="0" w:after="210"/>
        <w:rPr/>
      </w:pPr>
      <w:r>
        <w:rPr>
          <w:rFonts w:eastAsia="inter" w:cs="inter" w:ascii="Liberation Sans" w:hAnsi="Liberation Sans"/>
          <w:color w:val="auto"/>
          <w:sz w:val="28"/>
          <w:szCs w:val="28"/>
        </w:rPr>
        <w:t>Continuous optimization processes must regularly review and tune system performance, including CPU affinity assignments, memory allocation patterns, and network configurations</w:t>
      </w:r>
      <w:hyperlink w:anchor="fn8">
        <w:bookmarkStart w:id="54" w:name="fnref8%3A3"/>
        <w:bookmarkEnd w:id="54"/>
        <w:r>
          <w:rPr>
            <w:rStyle w:val="Style9"/>
            <w:rFonts w:eastAsia="inter" w:cs="inter" w:ascii="Liberation Sans" w:hAnsi="Liberation Sans"/>
            <w:color w:val="auto"/>
            <w:sz w:val="28"/>
            <w:szCs w:val="28"/>
            <w:u w:val="single"/>
            <w:vertAlign w:val="superscript"/>
          </w:rPr>
          <w:t>[8]</w:t>
        </w:r>
      </w:hyperlink>
      <w:r>
        <w:rPr>
          <w:rFonts w:eastAsia="inter" w:cs="inter" w:ascii="Liberation Sans" w:hAnsi="Liberation Sans"/>
          <w:color w:val="auto"/>
          <w:sz w:val="28"/>
          <w:szCs w:val="28"/>
        </w:rPr>
        <w:t>. Load testing capabilities must simulate high-volume trading scenarios to identify performance bottlenecks before they impact production trading activities. The system must support A/B testing of performance optimizations to validate improvements before full deployment.</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System Monitoring and Alerting</w:t>
      </w:r>
    </w:p>
    <w:p>
      <w:pPr>
        <w:pStyle w:val="Normal"/>
        <w:spacing w:lineRule="auto" w:line="360" w:before="0" w:after="210"/>
        <w:rPr/>
      </w:pPr>
      <w:r>
        <w:rPr>
          <w:rFonts w:eastAsia="inter" w:cs="inter" w:ascii="Liberation Sans" w:hAnsi="Liberation Sans"/>
          <w:color w:val="auto"/>
          <w:sz w:val="28"/>
          <w:szCs w:val="28"/>
        </w:rPr>
        <w:t>Comprehensive system monitoring must track all critical components including CPU utilization, memory usage, network throughput, disk I/O, and application-specific metrics such as order processing rates and market data latency</w:t>
      </w:r>
      <w:hyperlink w:anchor="fn11">
        <w:bookmarkStart w:id="55" w:name="fnref11%3A2"/>
        <w:bookmarkEnd w:id="55"/>
        <w:r>
          <w:rPr>
            <w:rStyle w:val="Style9"/>
            <w:rFonts w:eastAsia="inter" w:cs="inter" w:ascii="Liberation Sans" w:hAnsi="Liberation Sans"/>
            <w:color w:val="auto"/>
            <w:sz w:val="28"/>
            <w:szCs w:val="28"/>
            <w:u w:val="single"/>
            <w:vertAlign w:val="superscript"/>
          </w:rPr>
          <w:t>[11]</w:t>
        </w:r>
      </w:hyperlink>
      <w:r>
        <w:rPr>
          <w:rFonts w:eastAsia="inter" w:cs="inter" w:ascii="Liberation Sans" w:hAnsi="Liberation Sans"/>
          <w:color w:val="auto"/>
          <w:sz w:val="28"/>
          <w:szCs w:val="28"/>
        </w:rPr>
        <w:t>. Monitoring systems must provide multiple alert channels including email, SMS, and integrated dashboard notifications to ensure rapid response to system issues. Escalation procedures must ensure that critical alerts reach appropriate personnel even during off-hours or holiday periods.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Health check systems must continuously validate system functionality through synthetic transactions that simulate real trading activities without impacting production operations. Database monitoring must track query performance, connection pool utilization, and storage capacity to prevent database-related performance degradation. Network monitoring must measure latency, packet loss, and bandwidth utilization across all critical network connections.</w:t>
      </w:r>
    </w:p>
    <w:p>
      <w:pPr>
        <w:pStyle w:val="Normal"/>
        <w:spacing w:lineRule="auto" w:line="360" w:before="0" w:after="210"/>
        <w:rPr/>
      </w:pPr>
      <w:r>
        <w:rPr>
          <w:rFonts w:eastAsia="inter" w:cs="inter" w:ascii="Liberation Sans" w:hAnsi="Liberation Sans"/>
          <w:color w:val="auto"/>
          <w:sz w:val="28"/>
          <w:szCs w:val="28"/>
        </w:rPr>
        <w:t>Log aggregation and analysis systems must centralize logging from all system components while providing efficient search and analysis capabilities for troubleshooting and performance optimization</w:t>
      </w:r>
      <w:hyperlink w:anchor="fn11">
        <w:bookmarkStart w:id="56" w:name="fnref11%3A3"/>
        <w:bookmarkEnd w:id="56"/>
        <w:r>
          <w:rPr>
            <w:rStyle w:val="Style9"/>
            <w:rFonts w:eastAsia="inter" w:cs="inter" w:ascii="Liberation Sans" w:hAnsi="Liberation Sans"/>
            <w:color w:val="auto"/>
            <w:sz w:val="28"/>
            <w:szCs w:val="28"/>
            <w:u w:val="single"/>
            <w:vertAlign w:val="superscript"/>
          </w:rPr>
          <w:t>[11]</w:t>
        </w:r>
      </w:hyperlink>
      <w:r>
        <w:rPr>
          <w:rFonts w:eastAsia="inter" w:cs="inter" w:ascii="Liberation Sans" w:hAnsi="Liberation Sans"/>
          <w:color w:val="auto"/>
          <w:sz w:val="28"/>
          <w:szCs w:val="28"/>
        </w:rPr>
        <w:t>. Automated log analysis can detect patterns indicating potential issues before they impact trading operations, enabling proactive maintenance and optimization activities.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Development Phases and Implementation Strategy</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Phase 1: Foundation and Infrastructure Setup</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The initial development phase focuses on establishing the core infrastructure and development environment necessary for building the high-performance trading platform. This includes setting up the Windows 11 X64 development environment with all necessary optimization configurations, establishing source code management systems, and implementing continuous integration/continuous deployment (CI/CD) pipelines. Development tools must include performance profiling capabilities, memory debugging tools, and latency measurement frameworks essential for optimizing trading system performance.</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Database infrastructure setup includes installing and configuring time-series databases, implementing data replication and backup systems, and establishing data governance procedures for market data and trading records. Network infrastructure configuration involves optimizing network settings for low-latency communications, establishing secure connections to market data providers and trading venues, and implementing network monitoring and alerting systems.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Security infrastructure must include encryption key management, secure authentication systems, and network security monitoring to protect against cyber threats that could compromise trading operations or expose sensitive financial data. Development of coding standards and architectural guidelines ensures consistency across the development team while maintaining the performance requirements essential for trading system success.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Phase 2: Core System Development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The second phase encompasses development of the core trading system components including the market data processing engine, order management system, and FIX protocol implementation. Market data processing capabilities must handle real-time feeds from multiple sources while maintaining low-latency processing and accurate data normalization. The order management system must support complex order types, position tracking, and integration with risk management systems.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FIX protocol implementation requires thorough testing with each target trading venue to ensure compatibility and optimal performance characteristics. Message parsing and generation optimizations must minimize processing overhead while maintaining protocol compliance and audit trail requirements. Session management and error handling capabilities must ensure reliable connectivity under various network conditions and system failure scenarios.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Database schema design and optimization must accommodate high-volume trading data while providing efficient query performance for real-time analytics and historical analysis. Data access layer development must provide optimized interfaces for time-critical operations while maintaining data consistency and transaction integrity across multiple concurrent users and automated systems.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Phase 3: Advanced Features and Integration</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The third development phase introduces advanced trading features including smart order routing, execution algorithms, and sophisticated risk management capabilities. Algorithm development frameworks must enable rapid prototyping and testing of new trading strategies while maintaining the performance characteristics required for production deployment. Backtesting capabilities must provide accurate simulation of historical trading scenarios to validate strategy performance before live trading deployment.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Integration with external systems including prime brokers, clearing firms, and regulatory reporting systems ensures seamless operation within the broader trading ecosystem. API development provides interfaces for third-party systems and custom applications while maintaining security and performance requirements. Mobile application development enables remote monitoring and limited trading capabilities for situations requiring access outside the primary trading environment.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Machine learning integration provides capabilities for pattern recognition, market prediction, and dynamic optimization of trading parameters based on historical performance and current market conditions. The system must support both supervised and unsupervised learning approaches while maintaining the real-time performance requirements essential for trading applications.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Phase 4: Testing and Deployment</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Comprehensive testing procedures must validate system performance under various market conditions including high-volatility periods, market openings and closings, and unusual trading scenarios. Load testing must simulate realistic trading volumes while measuring latency, throughput, and error rates under stress conditions. Integration testing must verify correct operation with all connected external systems including market data providers, trading venues, and clearing firms.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User acceptance testing involves validation of all trading workflows, risk management procedures, and reporting capabilities by actual traders who will use the system in production. Performance benchmarking must establish baseline measurements and validate that the system meets all specified performance requirements under realistic operating conditions. Security testing must identify and address potential vulnerabilities that could compromise system integrity or expose sensitive trading data.</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Deployment procedures must include detailed rollback plans, monitoring and alerting configurations, and documentation for operational procedures. Training programs must ensure that all users understand system capabilities, limitations, and proper operating procedures to maximize trading effectiveness while minimizing operational risks.</w:t>
      </w:r>
    </w:p>
    <w:p>
      <w:pPr>
        <w:pStyle w:val="Normal"/>
        <w:spacing w:lineRule="auto" w:line="360" w:before="315" w:after="105"/>
        <w:ind w:left="-30"/>
        <w:jc w:val="left"/>
        <w:rPr>
          <w:rFonts w:ascii="Liberation Sans" w:hAnsi="Liberation Sans"/>
          <w:color w:val="auto"/>
          <w:sz w:val="28"/>
          <w:szCs w:val="28"/>
        </w:rPr>
      </w:pPr>
      <w:r>
        <w:rPr>
          <w:rFonts w:eastAsia="inter" w:cs="inter" w:ascii="Liberation Sans" w:hAnsi="Liberation Sans"/>
          <w:b/>
          <w:color w:val="auto"/>
          <w:sz w:val="28"/>
          <w:szCs w:val="28"/>
        </w:rPr>
        <w:t>Conclusion</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The development of a high-performance stock day trading platform represents a complex engineering challenge requiring expertise across multiple domains including financial markets, software architecture, network optimization, and regulatory compliance. The modular architecture approach enables scalability and maintainability while supporting the ultra-low latency requirements essential for competitive trading operations. Comprehensive risk management and compliance systems ensure operational safety while meeting regulatory requirements across multiple jurisdictions.</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The phased development approach provides a structured path from initial infrastructure setup through advanced feature implementation and production deployment. Continuous performance monitoring and optimization ensure that the system maintains competitive performance characteristics as market conditions and trading volumes evolve. Integration with modern development practices including automated testing, continuous integration, and performance monitoring provides the foundation for long-term system success and evolution.</w:t>
      </w:r>
    </w:p>
    <w:p>
      <w:pPr>
        <w:pStyle w:val="Normal"/>
        <w:spacing w:lineRule="auto" w:line="360" w:before="0" w:after="210"/>
        <w:rPr>
          <w:rFonts w:ascii="Liberation Sans" w:hAnsi="Liberation Sans"/>
          <w:color w:val="auto"/>
          <w:sz w:val="28"/>
          <w:szCs w:val="28"/>
        </w:rPr>
      </w:pPr>
      <w:r>
        <w:rPr>
          <w:rFonts w:eastAsia="inter" w:cs="inter" w:ascii="Liberation Sans" w:hAnsi="Liberation Sans"/>
          <w:color w:val="auto"/>
          <w:sz w:val="28"/>
          <w:szCs w:val="28"/>
        </w:rPr>
        <w:t>Success in implementing this trading platform requires careful attention to performance optimization at every system layer, from hardware configuration through application design and database optimization. The combination of cutting-edge technology, sophisticated algorithms, and robust operational procedures creates a platform capable of competing effectively in modern electronic trading markets while providing the reliability and compliance capabilities essential for professional trading operations.</w:t>
      </w:r>
    </w:p>
    <w:p>
      <w:pPr>
        <w:pStyle w:val="Normal"/>
        <w:spacing w:lineRule="auto" w:line="360" w:before="0" w:after="120"/>
        <w:jc w:val="center"/>
        <w:rPr>
          <w:rFonts w:eastAsia="inter" w:cs="inter"/>
          <w:color w:val="auto"/>
        </w:rPr>
      </w:pPr>
      <w:r>
        <w:rPr>
          <w:rFonts w:ascii="Liberation Sans" w:hAnsi="Liberation Sans"/>
          <w:sz w:val="28"/>
          <w:szCs w:val="28"/>
        </w:rPr>
      </w:r>
    </w:p>
    <w:sectPr>
      <w:type w:val="nextPage"/>
      <w:pgSz w:w="12240" w:h="15840"/>
      <w:pgMar w:left="1365" w:right="1365" w:gutter="0" w:header="0" w:top="1365" w:footer="0" w:bottom="13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Consolas">
    <w:charset w:val="00"/>
    <w:family w:val="roman"/>
    <w:pitch w:val="variable"/>
  </w:font>
  <w:font w:name="Liberation Sans">
    <w:altName w:val="Arial"/>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 w:cs="" w:cstheme="minorBidi" w:eastAsiaTheme="minorHAnsi" w:hAnsiTheme="minorHAnsi"/>
        <w:sz w:val="21"/>
        <w:szCs w:val="22"/>
        <w:lang w:val="en-US" w:eastAsia="en-US" w:bidi="ar-SA"/>
      </w:rPr>
    </w:rPrDefault>
    <w:pPrDefault>
      <w:pPr>
        <w:suppressAutoHyphens w:val="true"/>
      </w:pPr>
    </w:pPrDefault>
  </w:docDefaults>
  <w:style w:type="paragraph" w:styleId="Normal" w:default="1">
    <w:name w:val="Normal"/>
    <w:qFormat/>
    <w:pPr>
      <w:widowControl/>
      <w:bidi w:val="0"/>
      <w:spacing w:lineRule="atLeast" w:line="240" w:before="0" w:after="120"/>
      <w:jc w:val="left"/>
    </w:pPr>
    <w:rPr>
      <w:rFonts w:ascii="Georgia" w:hAnsi="Georgia" w:eastAsia="" w:cs="" w:cstheme="minorBidi" w:eastAsiaTheme="minorHAnsi" w:hAnsiTheme="minorHAnsi"/>
      <w:color w:val="auto"/>
      <w:kern w:val="0"/>
      <w:sz w:val="21"/>
      <w:szCs w:val="22"/>
      <w:lang w:val="en-US" w:eastAsia="en-US" w:bidi="ar-SA"/>
    </w:rPr>
  </w:style>
  <w:style w:type="character" w:styleId="VerbatimChar" w:customStyle="1">
    <w:name w:val="Verbatim Char"/>
    <w:qFormat/>
    <w:rPr>
      <w:rFonts w:ascii="Consolas" w:hAnsi="Consolas"/>
      <w:sz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LibreOffice/25.2.3.2$Windows_X86_64 LibreOffice_project/bbb074479178df812d175f709636b368952c2ce3</Application>
  <AppVersion>15.0000</AppVersion>
  <Pages>19</Pages>
  <Words>3632</Words>
  <Characters>26354</Characters>
  <CharactersWithSpaces>29897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2025-05-29T21:40:01Z</dcterms:created>
  <dc:creator>html-to-docx</dc:creator>
  <dc:description/>
  <cp:keywords>html-to-docx</cp:keywords>
  <dc:language>en-US</dc:language>
  <cp:lastModifiedBy/>
  <dcterms:modified xsi:type="dcterms:W3CDTF">2025-05-30T09:02:07Z</dcterms:modified>
  <cp:revision>2</cp:revision>
  <dc:subject/>
  <dc:title/>
</cp:coreProperties>
</file>