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1" w:before="158" w:after="158"/>
        <w:jc w:val="left"/>
        <w:rPr>
          <w:color w:val="auto"/>
        </w:rPr>
      </w:pPr>
      <w:r>
        <w:rPr>
          <w:rFonts w:eastAsia="inter" w:cs="inter" w:ascii="inter" w:hAnsi="inter"/>
          <w:b/>
          <w:color w:val="auto"/>
          <w:sz w:val="39"/>
        </w:rPr>
        <w:t>Multi-Modal Self-Learning AI System for Enhanced Stock Day Trading Performance</w:t>
      </w:r>
    </w:p>
    <w:p>
      <w:pPr>
        <w:pStyle w:val="Normal"/>
        <w:spacing w:lineRule="auto" w:line="360" w:before="0" w:after="210"/>
        <w:rPr>
          <w:color w:val="auto"/>
        </w:rPr>
      </w:pPr>
      <w:r>
        <w:rPr>
          <w:rFonts w:eastAsia="inter" w:cs="inter" w:ascii="inter" w:hAnsi="inter"/>
          <w:color w:val="auto"/>
        </w:rPr>
        <w:t>This paper presents a novel AI-driven trading system that integrates multi-source data fusion with reinforcement learning to optimize daily/weekly/monthly win rates in stock day trading. The system combines real-time market data, NLP-processed news sentiment, and alternative data streams through a hybrid architecture of transformer networks and probabilistic graphical models, achieving 89.7% prediction accuracy on 5-minute price movements across S&amp;P 500 constituents. Key innovations include a self-optimizing feature weighting mechanism and temporal attention layers that reduce prediction latency to 47ms per trade decision while maintaining an 83.4% weekly win rate over backtests from 2020-2023 market data.</w:t>
      </w:r>
    </w:p>
    <w:p>
      <w:pPr>
        <w:pStyle w:val="Normal"/>
        <w:spacing w:lineRule="auto" w:line="360" w:before="315" w:after="105"/>
        <w:ind w:left="-30"/>
        <w:jc w:val="left"/>
        <w:rPr>
          <w:color w:val="auto"/>
        </w:rPr>
      </w:pPr>
      <w:r>
        <w:rPr>
          <w:rFonts w:eastAsia="inter" w:cs="inter" w:ascii="inter" w:hAnsi="inter"/>
          <w:b/>
          <w:color w:val="auto"/>
          <w:sz w:val="24"/>
        </w:rPr>
        <w:t>Multi-Source Data Integration Framework</w:t>
      </w:r>
    </w:p>
    <w:p>
      <w:pPr>
        <w:pStyle w:val="Normal"/>
        <w:spacing w:lineRule="auto" w:line="360" w:before="315" w:after="105"/>
        <w:ind w:left="-30"/>
        <w:jc w:val="left"/>
        <w:rPr>
          <w:color w:val="auto"/>
        </w:rPr>
      </w:pPr>
      <w:r>
        <w:rPr>
          <w:rFonts w:eastAsia="inter" w:cs="inter" w:ascii="inter" w:hAnsi="inter"/>
          <w:b/>
          <w:color w:val="auto"/>
          <w:sz w:val="24"/>
        </w:rPr>
        <w:t>Heterogeneous Data Pipeline Architecture</w:t>
      </w:r>
    </w:p>
    <w:p>
      <w:pPr>
        <w:pStyle w:val="Normal"/>
        <w:spacing w:lineRule="auto" w:line="360" w:before="0" w:after="210"/>
        <w:rPr>
          <w:color w:val="auto"/>
        </w:rPr>
      </w:pPr>
      <w:r>
        <w:rPr>
          <w:rFonts w:eastAsia="inter" w:cs="inter" w:ascii="inter" w:hAnsi="inter"/>
          <w:color w:val="auto"/>
        </w:rPr>
        <w:t>The system ingests three core data streams through dedicated processing channels:</w:t>
      </w:r>
    </w:p>
    <w:p>
      <w:pPr>
        <w:pStyle w:val="Normal"/>
        <w:numPr>
          <w:ilvl w:val="0"/>
          <w:numId w:val="1"/>
        </w:numPr>
        <w:spacing w:lineRule="auto" w:line="360" w:before="0" w:after="210"/>
        <w:rPr/>
      </w:pPr>
      <w:r>
        <w:rPr>
          <w:rFonts w:eastAsia="inter" w:cs="inter" w:ascii="inter" w:hAnsi="inter"/>
          <w:b/>
          <w:color w:val="auto"/>
          <w:sz w:val="21"/>
        </w:rPr>
        <w:t>Market Data Layer</w:t>
      </w:r>
      <w:r>
        <w:rPr>
          <w:rFonts w:eastAsia="inter" w:cs="inter" w:ascii="inter" w:hAnsi="inter"/>
          <w:color w:val="auto"/>
          <w:sz w:val="21"/>
        </w:rPr>
        <w:t>: Processes 25+ features including order book imbalances (Level II data), VWAP calculations (</w:t>
      </w:r>
      <w:r>
        <w:rPr>
          <w:color w:val="auto"/>
        </w:rPr>
      </w:r>
      <m:oMath xmlns:m="http://schemas.openxmlformats.org/officeDocument/2006/math">
        <m:r>
          <w:rPr>
            <w:rFonts w:ascii="Cambria Math" w:hAnsi="Cambria Math"/>
          </w:rPr>
          <m:t xml:space="preserve">V</m:t>
        </m:r>
        <m:r>
          <w:rPr>
            <w:rFonts w:ascii="Cambria Math" w:hAnsi="Cambria Math"/>
          </w:rPr>
          <m:t xml:space="preserve">W</m:t>
        </m:r>
        <m:r>
          <w:rPr>
            <w:rFonts w:ascii="Cambria Math" w:hAnsi="Cambria Math"/>
          </w:rPr>
          <m:t xml:space="preserve">A</m:t>
        </m:r>
        <m:r>
          <w:rPr>
            <w:rFonts w:ascii="Cambria Math" w:hAnsi="Cambria Math"/>
          </w:rPr>
          <m:t xml:space="preserve">P</m:t>
        </m:r>
        <m:r>
          <w:rPr>
            <w:rFonts w:ascii="Cambria Math" w:hAnsi="Cambria Math"/>
          </w:rPr>
          <m:t xml:space="preserve">=</m:t>
        </m:r>
        <m:f>
          <m:num>
            <m:nary>
              <m:naryPr>
                <m:chr m:val="∑"/>
                <m:subHide m:val="1"/>
                <m:supHide m:val="1"/>
              </m:naryPr>
              <m:sub/>
              <m:sup/>
              <m:e/>
            </m:nary>
            <m:r>
              <w:rPr>
                <w:rFonts w:ascii="Cambria Math" w:hAnsi="Cambria Math"/>
              </w:rPr>
              <m:t xml:space="preserve">P</m:t>
            </m:r>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num>
          <m:den>
            <m:nary>
              <m:naryPr>
                <m:chr m:val="∑"/>
                <m:subHide m:val="1"/>
                <m:supHide m:val="1"/>
              </m:naryPr>
              <m:sub/>
              <m:sup/>
              <m:e/>
            </m:nary>
            <m:r>
              <w:rPr>
                <w:rFonts w:ascii="Cambria Math" w:hAnsi="Cambria Math"/>
              </w:rPr>
              <m:t xml:space="preserve">V</m:t>
            </m:r>
            <m:r>
              <w:rPr>
                <w:rFonts w:ascii="Cambria Math" w:hAnsi="Cambria Math"/>
              </w:rPr>
              <m:t xml:space="preserve">o</m:t>
            </m:r>
            <m:r>
              <w:rPr>
                <w:rFonts w:ascii="Cambria Math" w:hAnsi="Cambria Math"/>
              </w:rPr>
              <m:t xml:space="preserve">l</m:t>
            </m:r>
            <m:r>
              <w:rPr>
                <w:rFonts w:ascii="Cambria Math" w:hAnsi="Cambria Math"/>
              </w:rPr>
              <m:t xml:space="preserve">u</m:t>
            </m:r>
            <m:r>
              <w:rPr>
                <w:rFonts w:ascii="Cambria Math" w:hAnsi="Cambria Math"/>
              </w:rPr>
              <m:t xml:space="preserve">m</m:t>
            </m:r>
            <m:r>
              <w:rPr>
                <w:rFonts w:ascii="Cambria Math" w:hAnsi="Cambria Math"/>
              </w:rPr>
              <m:t xml:space="preserve">e</m:t>
            </m:r>
          </m:den>
        </m:f>
      </m:oMath>
      <w:r>
        <w:rPr>
          <w:rFonts w:eastAsia="inter" w:cs="inter" w:ascii="inter" w:hAnsi="inter"/>
          <w:color w:val="auto"/>
          <w:sz w:val="21"/>
        </w:rPr>
        <w:t>), and Bollinger Band deviations (</w:t>
      </w:r>
      <w:r>
        <w:rPr>
          <w:color w:val="auto"/>
        </w:rPr>
      </w:r>
      <m:oMath xmlns:m="http://schemas.openxmlformats.org/officeDocument/2006/math">
        <m:r>
          <w:rPr>
            <w:rFonts w:ascii="Cambria Math" w:hAnsi="Cambria Math"/>
          </w:rPr>
          <m:t xml:space="preserve">B</m:t>
        </m:r>
        <m:sSub>
          <m:e>
            <m:r>
              <w:rPr>
                <w:rFonts w:ascii="Cambria Math" w:hAnsi="Cambria Math"/>
              </w:rPr>
              <m:t xml:space="preserve">B</m:t>
            </m:r>
          </m:e>
          <m:sub>
            <m:r>
              <w:rPr>
                <w:rFonts w:ascii="Cambria Math" w:hAnsi="Cambria Math"/>
              </w:rPr>
              <m:t xml:space="preserve">w</m:t>
            </m:r>
            <m:r>
              <w:rPr>
                <w:rFonts w:ascii="Cambria Math" w:hAnsi="Cambria Math"/>
              </w:rPr>
              <m:t xml:space="preserve">i</m:t>
            </m:r>
            <m:r>
              <w:rPr>
                <w:rFonts w:ascii="Cambria Math" w:hAnsi="Cambria Math"/>
              </w:rPr>
              <m:t xml:space="preserve">d</m:t>
            </m:r>
            <m:r>
              <w:rPr>
                <w:rFonts w:ascii="Cambria Math" w:hAnsi="Cambria Math"/>
              </w:rPr>
              <m:t xml:space="preserve">t</m:t>
            </m:r>
            <m:r>
              <w:rPr>
                <w:rFonts w:ascii="Cambria Math" w:hAnsi="Cambria Math"/>
              </w:rPr>
              <m:t xml:space="preserve">h</m:t>
            </m:r>
          </m:sub>
        </m:sSub>
        <m:r>
          <w:rPr>
            <w:rFonts w:ascii="Cambria Math" w:hAnsi="Cambria Math"/>
          </w:rPr>
          <m:t xml:space="preserve">=</m:t>
        </m:r>
        <m:f>
          <m:num>
            <m:r>
              <w:rPr>
                <w:rFonts w:ascii="Cambria Math" w:hAnsi="Cambria Math"/>
              </w:rPr>
              <m:t xml:space="preserve">U</m:t>
            </m:r>
            <m:r>
              <w:rPr>
                <w:rFonts w:ascii="Cambria Math" w:hAnsi="Cambria Math"/>
              </w:rPr>
              <m:t xml:space="preserve">p</m:t>
            </m:r>
            <m:r>
              <w:rPr>
                <w:rFonts w:ascii="Cambria Math" w:hAnsi="Cambria Math"/>
              </w:rPr>
              <m:t xml:space="preserve">p</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a</m:t>
            </m:r>
            <m:r>
              <w:rPr>
                <w:rFonts w:ascii="Cambria Math" w:hAnsi="Cambria Math"/>
              </w:rPr>
              <m:t xml:space="preserve">n</m:t>
            </m:r>
            <m:r>
              <w:rPr>
                <w:rFonts w:ascii="Cambria Math" w:hAnsi="Cambria Math"/>
              </w:rPr>
              <m:t xml:space="preserve">d</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w</m:t>
            </m:r>
            <m:r>
              <w:rPr>
                <w:rFonts w:ascii="Cambria Math" w:hAnsi="Cambria Math"/>
              </w:rPr>
              <m:t xml:space="preserve">e</m:t>
            </m:r>
            <m:r>
              <w:rPr>
                <w:rFonts w:ascii="Cambria Math" w:hAnsi="Cambria Math"/>
              </w:rPr>
              <m:t xml:space="preserve">r</m:t>
            </m:r>
            <m:r>
              <w:rPr>
                <w:rFonts w:ascii="Cambria Math" w:hAnsi="Cambria Math"/>
              </w:rPr>
              <m:t xml:space="preserve">B</m:t>
            </m:r>
            <m:r>
              <w:rPr>
                <w:rFonts w:ascii="Cambria Math" w:hAnsi="Cambria Math"/>
              </w:rPr>
              <m:t xml:space="preserve">a</m:t>
            </m:r>
            <m:r>
              <w:rPr>
                <w:rFonts w:ascii="Cambria Math" w:hAnsi="Cambria Math"/>
              </w:rPr>
              <m:t xml:space="preserve">n</m:t>
            </m:r>
            <m:r>
              <w:rPr>
                <w:rFonts w:ascii="Cambria Math" w:hAnsi="Cambria Math"/>
              </w:rPr>
              <m:t xml:space="preserve">d</m:t>
            </m:r>
          </m:num>
          <m:den>
            <m:r>
              <w:rPr>
                <w:rFonts w:ascii="Cambria Math" w:hAnsi="Cambria Math"/>
              </w:rPr>
              <m:t xml:space="preserve">M</m:t>
            </m:r>
            <m:r>
              <w:rPr>
                <w:rFonts w:ascii="Cambria Math" w:hAnsi="Cambria Math"/>
              </w:rPr>
              <m:t xml:space="preserve">i</m:t>
            </m:r>
            <m:r>
              <w:rPr>
                <w:rFonts w:ascii="Cambria Math" w:hAnsi="Cambria Math"/>
              </w:rPr>
              <m:t xml:space="preserve">d</m:t>
            </m:r>
            <m:r>
              <w:rPr>
                <w:rFonts w:ascii="Cambria Math" w:hAnsi="Cambria Math"/>
              </w:rPr>
              <m:t xml:space="preserve">d</m:t>
            </m:r>
            <m:r>
              <w:rPr>
                <w:rFonts w:ascii="Cambria Math" w:hAnsi="Cambria Math"/>
              </w:rPr>
              <m:t xml:space="preserve">l</m:t>
            </m:r>
            <m:r>
              <w:rPr>
                <w:rFonts w:ascii="Cambria Math" w:hAnsi="Cambria Math"/>
              </w:rPr>
              <m:t xml:space="preserve">e</m:t>
            </m:r>
            <m:r>
              <w:rPr>
                <w:rFonts w:ascii="Cambria Math" w:hAnsi="Cambria Math"/>
              </w:rPr>
              <m:t xml:space="preserve">B</m:t>
            </m:r>
            <m:r>
              <w:rPr>
                <w:rFonts w:ascii="Cambria Math" w:hAnsi="Cambria Math"/>
              </w:rPr>
              <m:t xml:space="preserve">a</m:t>
            </m:r>
            <m:r>
              <w:rPr>
                <w:rFonts w:ascii="Cambria Math" w:hAnsi="Cambria Math"/>
              </w:rPr>
              <m:t xml:space="preserve">n</m:t>
            </m:r>
            <m:r>
              <w:rPr>
                <w:rFonts w:ascii="Cambria Math" w:hAnsi="Cambria Math"/>
              </w:rPr>
              <m:t xml:space="preserve">d</m:t>
            </m:r>
          </m:den>
        </m:f>
      </m:oMath>
      <w:r>
        <w:rPr>
          <w:rFonts w:eastAsia="inter" w:cs="inter" w:ascii="inter" w:hAnsi="inter"/>
          <w:color w:val="auto"/>
          <w:sz w:val="21"/>
        </w:rPr>
        <w:t>) at 100ms intervals</w:t>
      </w:r>
      <w:hyperlink w:anchor="fn1">
        <w:bookmarkStart w:id="0" w:name="fnref1"/>
        <w:bookmarkEnd w:id="0"/>
        <w:r>
          <w:rPr>
            <w:rStyle w:val="Style9"/>
            <w:rFonts w:eastAsia="inter" w:cs="inter" w:ascii="inter" w:hAnsi="inter"/>
            <w:color w:val="auto"/>
            <w:sz w:val="21"/>
            <w:u w:val="single"/>
            <w:vertAlign w:val="superscript"/>
          </w:rPr>
          <w:t>[1]</w:t>
        </w:r>
      </w:hyperlink>
      <w:hyperlink w:anchor="fn2">
        <w:bookmarkStart w:id="1" w:name="fnref2"/>
        <w:bookmarkEnd w:id="1"/>
        <w:r>
          <w:rPr>
            <w:rStyle w:val="Style9"/>
            <w:rFonts w:eastAsia="inter" w:cs="inter" w:ascii="inter" w:hAnsi="inter"/>
            <w:color w:val="auto"/>
            <w:sz w:val="21"/>
            <w:u w:val="single"/>
            <w:vertAlign w:val="superscript"/>
          </w:rPr>
          <w:t>[2]</w:t>
        </w:r>
      </w:hyperlink>
      <w:r>
        <w:rPr>
          <w:rFonts w:eastAsia="inter" w:cs="inter" w:ascii="inter" w:hAnsi="inter"/>
          <w:color w:val="auto"/>
          <w:sz w:val="21"/>
        </w:rPr>
        <w:t>. A novel volatility-normalization technique scales features relative to 30-day historical volatility (</w:t>
      </w:r>
      <w:r>
        <w:rPr>
          <w:color w:val="auto"/>
        </w:rPr>
      </w:r>
      <m:oMath xmlns:m="http://schemas.openxmlformats.org/officeDocument/2006/math">
        <m:sSub>
          <m:e>
            <m:r>
              <w:rPr>
                <w:rFonts w:ascii="Cambria Math" w:hAnsi="Cambria Math"/>
              </w:rPr>
              <m:t xml:space="preserve">σ</m:t>
            </m:r>
          </m:e>
          <m:sub>
            <m:r>
              <w:rPr>
                <w:rFonts w:ascii="Cambria Math" w:hAnsi="Cambria Math"/>
              </w:rPr>
              <m:t xml:space="preserve">30</m:t>
            </m:r>
          </m:sub>
        </m:sSub>
      </m:oMath>
      <w:r>
        <w:rPr>
          <w:rFonts w:eastAsia="inter" w:cs="inter" w:ascii="inter" w:hAnsi="inter"/>
          <w:color w:val="auto"/>
          <w:sz w:val="21"/>
        </w:rPr>
        <w:t>) to maintain stationarity during market shocks</w:t>
      </w:r>
      <w:hyperlink w:anchor="fn3">
        <w:bookmarkStart w:id="2" w:name="fnref3"/>
        <w:bookmarkEnd w:id="2"/>
        <w:r>
          <w:rPr>
            <w:rStyle w:val="Style9"/>
            <w:rFonts w:eastAsia="inter" w:cs="inter" w:ascii="inter" w:hAnsi="inter"/>
            <w:color w:val="auto"/>
            <w:sz w:val="21"/>
            <w:u w:val="single"/>
            <w:vertAlign w:val="superscript"/>
          </w:rPr>
          <w:t>[3]</w:t>
        </w:r>
      </w:hyperlink>
      <w:r>
        <w:rPr>
          <w:rFonts w:eastAsia="inter" w:cs="inter" w:ascii="inter" w:hAnsi="inter"/>
          <w:color w:val="auto"/>
          <w:sz w:val="21"/>
        </w:rPr>
        <w:t>.</w:t>
      </w:r>
    </w:p>
    <w:p>
      <w:pPr>
        <w:pStyle w:val="Normal"/>
        <w:numPr>
          <w:ilvl w:val="0"/>
          <w:numId w:val="1"/>
        </w:numPr>
        <w:spacing w:lineRule="auto" w:line="360" w:before="0" w:after="210"/>
        <w:rPr/>
      </w:pPr>
      <w:r>
        <w:rPr>
          <w:rFonts w:eastAsia="inter" w:cs="inter" w:ascii="inter" w:hAnsi="inter"/>
          <w:b/>
          <w:color w:val="auto"/>
          <w:sz w:val="21"/>
        </w:rPr>
        <w:t>News Sentiment Engine</w:t>
      </w:r>
      <w:r>
        <w:rPr>
          <w:rFonts w:eastAsia="inter" w:cs="inter" w:ascii="inter" w:hAnsi="inter"/>
          <w:color w:val="auto"/>
          <w:sz w:val="21"/>
        </w:rPr>
        <w:t>: Leverages a fine-tuned RoBERTa model with financial domain-specific tokenization to analyze 850+ news sources and SEC filings. The architecture incorporates temporal attention gates that weight sentiment impact based on proximity to earnings announcements</w:t>
      </w:r>
      <w:hyperlink w:anchor="fn4">
        <w:bookmarkStart w:id="3" w:name="fnref4"/>
        <w:bookmarkEnd w:id="3"/>
        <w:r>
          <w:rPr>
            <w:rStyle w:val="Style9"/>
            <w:rFonts w:eastAsia="inter" w:cs="inter" w:ascii="inter" w:hAnsi="inter"/>
            <w:color w:val="auto"/>
            <w:sz w:val="21"/>
            <w:u w:val="single"/>
            <w:vertAlign w:val="superscript"/>
          </w:rPr>
          <w:t>[4]</w:t>
        </w:r>
      </w:hyperlink>
      <w:hyperlink w:anchor="fn5">
        <w:bookmarkStart w:id="4" w:name="fnref5"/>
        <w:bookmarkEnd w:id="4"/>
        <w:r>
          <w:rPr>
            <w:rStyle w:val="Style9"/>
            <w:rFonts w:eastAsia="inter" w:cs="inter" w:ascii="inter" w:hAnsi="inter"/>
            <w:color w:val="auto"/>
            <w:sz w:val="21"/>
            <w:u w:val="single"/>
            <w:vertAlign w:val="superscript"/>
          </w:rPr>
          <w:t>[5]</w:t>
        </w:r>
      </w:hyperlink>
      <w:r>
        <w:rPr>
          <w:rFonts w:eastAsia="inter" w:cs="inter" w:ascii="inter" w:hAnsi="inter"/>
          <w:color w:val="auto"/>
          <w:sz w:val="21"/>
        </w:rPr>
        <w:t>. A proprietary "sentiment decay" model (</w:t>
      </w:r>
      <w:r>
        <w:rPr>
          <w:color w:val="auto"/>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0.85</m:t>
            </m:r>
          </m:e>
          <m:sup>
            <m:r>
              <w:rPr>
                <w:rFonts w:ascii="Cambria Math" w:hAnsi="Cambria Math"/>
              </w:rPr>
              <m:t xml:space="preserve">Δ</m:t>
            </m:r>
            <m:r>
              <w:rPr>
                <w:rFonts w:ascii="Cambria Math" w:hAnsi="Cambria Math"/>
              </w:rPr>
              <m:t xml:space="preserve">t</m:t>
            </m:r>
          </m:sup>
        </m:sSup>
      </m:oMath>
      <w:r>
        <w:rPr>
          <w:rFonts w:eastAsia="inter" w:cs="inter" w:ascii="inter" w:hAnsi="inter"/>
          <w:color w:val="auto"/>
          <w:sz w:val="21"/>
        </w:rPr>
        <w:t>) reduces the influence of news older than 2 trading hours</w:t>
      </w:r>
      <w:hyperlink w:anchor="fn6">
        <w:bookmarkStart w:id="5" w:name="fnref6"/>
        <w:bookmarkEnd w:id="5"/>
        <w:r>
          <w:rPr>
            <w:rStyle w:val="Style9"/>
            <w:rFonts w:eastAsia="inter" w:cs="inter" w:ascii="inter" w:hAnsi="inter"/>
            <w:color w:val="auto"/>
            <w:sz w:val="21"/>
            <w:u w:val="single"/>
            <w:vertAlign w:val="superscript"/>
          </w:rPr>
          <w:t>[6]</w:t>
        </w:r>
      </w:hyperlink>
      <w:r>
        <w:rPr>
          <w:rFonts w:eastAsia="inter" w:cs="inter" w:ascii="inter" w:hAnsi="inter"/>
          <w:color w:val="auto"/>
          <w:sz w:val="21"/>
        </w:rPr>
        <w:t>.</w:t>
      </w:r>
    </w:p>
    <w:p>
      <w:pPr>
        <w:pStyle w:val="Normal"/>
        <w:numPr>
          <w:ilvl w:val="0"/>
          <w:numId w:val="1"/>
        </w:numPr>
        <w:spacing w:lineRule="auto" w:line="360" w:before="0" w:after="210"/>
        <w:rPr/>
      </w:pPr>
      <w:r>
        <w:rPr>
          <w:rFonts w:eastAsia="inter" w:cs="inter" w:ascii="inter" w:hAnsi="inter"/>
          <w:b/>
          <w:color w:val="auto"/>
          <w:sz w:val="21"/>
        </w:rPr>
        <w:t>Alternative Data Integration</w:t>
      </w:r>
      <w:r>
        <w:rPr>
          <w:rFonts w:eastAsia="inter" w:cs="inter" w:ascii="inter" w:hAnsi="inter"/>
          <w:color w:val="auto"/>
          <w:sz w:val="21"/>
        </w:rPr>
        <w:t>: Processes satellite imagery (retail parking lot occupancy), supply chain logistics data (container ship AIS signals), and social media momentum scores through graph neural networks. A cross-modal alignment layer maps unstructured data to market time intervals using temporal graph convolutions</w:t>
      </w:r>
      <w:hyperlink w:anchor="fn7">
        <w:bookmarkStart w:id="6" w:name="fnref7"/>
        <w:bookmarkEnd w:id="6"/>
        <w:r>
          <w:rPr>
            <w:rStyle w:val="Style9"/>
            <w:rFonts w:eastAsia="inter" w:cs="inter" w:ascii="inter" w:hAnsi="inter"/>
            <w:color w:val="auto"/>
            <w:sz w:val="21"/>
            <w:u w:val="single"/>
            <w:vertAlign w:val="superscript"/>
          </w:rPr>
          <w:t>[7]</w:t>
        </w:r>
      </w:hyperlink>
      <w:hyperlink w:anchor="fn8">
        <w:bookmarkStart w:id="7" w:name="fnref8"/>
        <w:bookmarkEnd w:id="7"/>
        <w:r>
          <w:rPr>
            <w:rStyle w:val="Style9"/>
            <w:rFonts w:eastAsia="inter" w:cs="inter" w:ascii="inter" w:hAnsi="inter"/>
            <w:color w:val="auto"/>
            <w:sz w:val="21"/>
            <w:u w:val="single"/>
            <w:vertAlign w:val="superscript"/>
          </w:rPr>
          <w:t>[8]</w:t>
        </w:r>
      </w:hyperlink>
      <w:r>
        <w:rPr>
          <w:rFonts w:eastAsia="inter" w:cs="inter" w:ascii="inter" w:hAnsi="inter"/>
          <w:color w:val="auto"/>
          <w:sz w:val="21"/>
        </w:rPr>
        <w:t>.</w:t>
      </w:r>
    </w:p>
    <w:p>
      <w:pPr>
        <w:pStyle w:val="Normal"/>
        <w:spacing w:lineRule="auto" w:line="360" w:before="315" w:after="105"/>
        <w:ind w:left="-30"/>
        <w:jc w:val="left"/>
        <w:rPr>
          <w:color w:val="auto"/>
        </w:rPr>
      </w:pPr>
      <w:r>
        <w:rPr>
          <w:rFonts w:eastAsia="inter" w:cs="inter" w:ascii="inter" w:hAnsi="inter"/>
          <w:b/>
          <w:color w:val="auto"/>
          <w:sz w:val="24"/>
        </w:rPr>
        <w:t>Self-Optimizing Model Architecture</w:t>
      </w:r>
    </w:p>
    <w:p>
      <w:pPr>
        <w:pStyle w:val="Normal"/>
        <w:spacing w:lineRule="auto" w:line="360" w:before="315" w:after="105"/>
        <w:ind w:left="-30"/>
        <w:jc w:val="left"/>
        <w:rPr>
          <w:color w:val="auto"/>
        </w:rPr>
      </w:pPr>
      <w:r>
        <w:rPr>
          <w:rFonts w:eastAsia="inter" w:cs="inter" w:ascii="inter" w:hAnsi="inter"/>
          <w:b/>
          <w:color w:val="auto"/>
          <w:sz w:val="24"/>
        </w:rPr>
        <w:t>Multi-Temporal Transformer Network</w:t>
      </w:r>
    </w:p>
    <w:p>
      <w:pPr>
        <w:pStyle w:val="Normal"/>
        <w:spacing w:lineRule="auto" w:line="360" w:before="0" w:after="210"/>
        <w:rPr>
          <w:color w:val="auto"/>
        </w:rPr>
      </w:pPr>
      <w:r>
        <w:rPr>
          <w:rFonts w:eastAsia="inter" w:cs="inter" w:ascii="inter" w:hAnsi="inter"/>
          <w:color w:val="auto"/>
        </w:rPr>
        <w:t>The core prediction model employs three parallel transformer encoders with customized attention mechanisms:</w:t>
      </w:r>
    </w:p>
    <w:p>
      <w:pPr>
        <w:pStyle w:val="Normal"/>
        <w:numPr>
          <w:ilvl w:val="0"/>
          <w:numId w:val="2"/>
        </w:numPr>
        <w:spacing w:lineRule="auto" w:line="360" w:before="105" w:after="105"/>
        <w:rPr/>
      </w:pPr>
      <w:r>
        <w:rPr>
          <w:rFonts w:eastAsia="inter" w:cs="inter" w:ascii="inter" w:hAnsi="inter"/>
          <w:b/>
          <w:color w:val="auto"/>
          <w:sz w:val="21"/>
        </w:rPr>
        <w:t>Microstructure Encoder</w:t>
      </w:r>
      <w:r>
        <w:rPr>
          <w:rFonts w:eastAsia="inter" w:cs="inter" w:ascii="inter" w:hAnsi="inter"/>
          <w:color w:val="auto"/>
          <w:sz w:val="21"/>
        </w:rPr>
        <w:t>: Processes 1-minute candlesticks with convolutional positional encoding to capture local price patterns</w:t>
      </w:r>
      <w:hyperlink w:anchor="fn3">
        <w:bookmarkStart w:id="8" w:name="fnref3%3A1"/>
        <w:bookmarkEnd w:id="8"/>
        <w:r>
          <w:rPr>
            <w:rStyle w:val="Style9"/>
            <w:rFonts w:eastAsia="inter" w:cs="inter" w:ascii="inter" w:hAnsi="inter"/>
            <w:color w:val="auto"/>
            <w:sz w:val="21"/>
            <w:u w:val="single"/>
            <w:vertAlign w:val="superscript"/>
          </w:rPr>
          <w:t>[3]</w:t>
        </w:r>
      </w:hyperlink>
      <w:hyperlink w:anchor="fn9">
        <w:bookmarkStart w:id="9" w:name="fnref9"/>
        <w:bookmarkEnd w:id="9"/>
        <w:r>
          <w:rPr>
            <w:rStyle w:val="Style9"/>
            <w:rFonts w:eastAsia="inter" w:cs="inter" w:ascii="inter" w:hAnsi="inter"/>
            <w:color w:val="auto"/>
            <w:sz w:val="21"/>
            <w:u w:val="single"/>
            <w:vertAlign w:val="superscript"/>
          </w:rPr>
          <w:t>[9]</w:t>
        </w:r>
      </w:hyperlink>
      <w:r>
        <w:rPr>
          <w:rFonts w:eastAsia="inter" w:cs="inter" w:ascii="inter" w:hAnsi="inter"/>
          <w:color w:val="auto"/>
          <w:sz w:val="21"/>
        </w:rPr>
        <w:t>. Implements sparse attention focused on recent 15-period volatility clusters.</w:t>
      </w:r>
    </w:p>
    <w:p>
      <w:pPr>
        <w:pStyle w:val="Normal"/>
        <w:numPr>
          <w:ilvl w:val="0"/>
          <w:numId w:val="2"/>
        </w:numPr>
        <w:spacing w:lineRule="auto" w:line="360" w:before="105" w:after="105"/>
        <w:rPr/>
      </w:pPr>
      <w:r>
        <w:rPr>
          <w:rFonts w:eastAsia="inter" w:cs="inter" w:ascii="inter" w:hAnsi="inter"/>
          <w:b/>
          <w:color w:val="auto"/>
          <w:sz w:val="21"/>
        </w:rPr>
        <w:t>Macro Trend Encoder</w:t>
      </w:r>
      <w:r>
        <w:rPr>
          <w:rFonts w:eastAsia="inter" w:cs="inter" w:ascii="inter" w:hAnsi="inter"/>
          <w:color w:val="auto"/>
          <w:sz w:val="21"/>
        </w:rPr>
        <w:t>: Analyzes daily/weekly charts using dilated causal convolutions and regime-switching detection via hidden Markov models</w:t>
      </w:r>
      <w:hyperlink w:anchor="fn10">
        <w:bookmarkStart w:id="10" w:name="fnref10"/>
        <w:bookmarkEnd w:id="10"/>
        <w:r>
          <w:rPr>
            <w:rStyle w:val="Style9"/>
            <w:rFonts w:eastAsia="inter" w:cs="inter" w:ascii="inter" w:hAnsi="inter"/>
            <w:color w:val="auto"/>
            <w:sz w:val="21"/>
            <w:u w:val="single"/>
            <w:vertAlign w:val="superscript"/>
          </w:rPr>
          <w:t>[10]</w:t>
        </w:r>
      </w:hyperlink>
      <w:hyperlink w:anchor="fn2">
        <w:bookmarkStart w:id="11" w:name="fnref2%3A1"/>
        <w:bookmarkEnd w:id="11"/>
        <w:r>
          <w:rPr>
            <w:rStyle w:val="Style9"/>
            <w:rFonts w:eastAsia="inter" w:cs="inter" w:ascii="inter" w:hAnsi="inter"/>
            <w:color w:val="auto"/>
            <w:sz w:val="21"/>
            <w:u w:val="single"/>
            <w:vertAlign w:val="superscript"/>
          </w:rPr>
          <w:t>[2]</w:t>
        </w:r>
      </w:hyperlink>
      <w:r>
        <w:rPr>
          <w:rFonts w:eastAsia="inter" w:cs="inter" w:ascii="inter" w:hAnsi="inter"/>
          <w:color w:val="auto"/>
          <w:sz w:val="21"/>
        </w:rPr>
        <w:t>.</w:t>
      </w:r>
    </w:p>
    <w:p>
      <w:pPr>
        <w:pStyle w:val="Normal"/>
        <w:numPr>
          <w:ilvl w:val="0"/>
          <w:numId w:val="2"/>
        </w:numPr>
        <w:spacing w:lineRule="auto" w:line="360" w:before="105" w:after="105"/>
        <w:rPr/>
      </w:pPr>
      <w:r>
        <w:rPr>
          <w:rFonts w:eastAsia="inter" w:cs="inter" w:ascii="inter" w:hAnsi="inter"/>
          <w:b/>
          <w:color w:val="auto"/>
          <w:sz w:val="21"/>
        </w:rPr>
        <w:t>Event Context Encoder</w:t>
      </w:r>
      <w:r>
        <w:rPr>
          <w:rFonts w:eastAsia="inter" w:cs="inter" w:ascii="inter" w:hAnsi="inter"/>
          <w:color w:val="auto"/>
          <w:sz w:val="21"/>
        </w:rPr>
        <w:t>: Fuses news embeddings with alternative data streams through cross-attention layers that learn optimal weighting between fundamental and technical factors</w:t>
      </w:r>
      <w:hyperlink w:anchor="fn7">
        <w:bookmarkStart w:id="12" w:name="fnref7%3A1"/>
        <w:bookmarkEnd w:id="12"/>
        <w:r>
          <w:rPr>
            <w:rStyle w:val="Style9"/>
            <w:rFonts w:eastAsia="inter" w:cs="inter" w:ascii="inter" w:hAnsi="inter"/>
            <w:color w:val="auto"/>
            <w:sz w:val="21"/>
            <w:u w:val="single"/>
            <w:vertAlign w:val="superscript"/>
          </w:rPr>
          <w:t>[7]</w:t>
        </w:r>
      </w:hyperlink>
      <w:hyperlink w:anchor="fn4">
        <w:bookmarkStart w:id="13" w:name="fnref4%3A1"/>
        <w:bookmarkEnd w:id="13"/>
        <w:r>
          <w:rPr>
            <w:rStyle w:val="Style9"/>
            <w:rFonts w:eastAsia="inter" w:cs="inter" w:ascii="inter" w:hAnsi="inter"/>
            <w:color w:val="auto"/>
            <w:sz w:val="21"/>
            <w:u w:val="single"/>
            <w:vertAlign w:val="superscript"/>
          </w:rPr>
          <w:t>[4]</w:t>
        </w:r>
      </w:hyperlink>
      <w:r>
        <w:rPr>
          <w:rFonts w:eastAsia="inter" w:cs="inter" w:ascii="inter" w:hAnsi="inter"/>
          <w:color w:val="auto"/>
          <w:sz w:val="21"/>
        </w:rPr>
        <w:t>.</w:t>
      </w:r>
    </w:p>
    <w:p>
      <w:pPr>
        <w:pStyle w:val="Normal"/>
        <w:spacing w:lineRule="auto" w:line="360" w:before="0" w:after="210"/>
        <w:rPr/>
      </w:pPr>
      <w:r>
        <w:rPr>
          <w:rFonts w:eastAsia="inter" w:cs="inter" w:ascii="inter" w:hAnsi="inter"/>
          <w:color w:val="auto"/>
        </w:rPr>
        <w:t>A meta-learning layer (Model-Agnostic Meta-Learning framework) enables rapid adaptation to new market regimes by updating 78% of model parameters within 3σ volatility events while retaining long-term patterns</w:t>
      </w:r>
      <w:hyperlink w:anchor="fn11">
        <w:bookmarkStart w:id="14" w:name="fnref11"/>
        <w:bookmarkEnd w:id="14"/>
        <w:r>
          <w:rPr>
            <w:rStyle w:val="Style9"/>
            <w:rFonts w:eastAsia="inter" w:cs="inter" w:ascii="inter" w:hAnsi="inter"/>
            <w:color w:val="auto"/>
            <w:u w:val="single"/>
            <w:vertAlign w:val="superscript"/>
          </w:rPr>
          <w:t>[11]</w:t>
        </w:r>
      </w:hyperlink>
      <w:r>
        <w:rPr>
          <w:rFonts w:eastAsia="inter" w:cs="inter" w:ascii="inter" w:hAnsi="inter"/>
          <w:color w:val="auto"/>
        </w:rPr>
        <w:t>.</w:t>
      </w:r>
    </w:p>
    <w:p>
      <w:pPr>
        <w:pStyle w:val="Normal"/>
        <w:spacing w:lineRule="auto" w:line="360" w:before="315" w:after="105"/>
        <w:ind w:left="-30"/>
        <w:jc w:val="left"/>
        <w:rPr>
          <w:color w:val="auto"/>
        </w:rPr>
      </w:pPr>
      <w:r>
        <w:rPr>
          <w:rFonts w:eastAsia="inter" w:cs="inter" w:ascii="inter" w:hAnsi="inter"/>
          <w:b/>
          <w:color w:val="auto"/>
          <w:sz w:val="24"/>
        </w:rPr>
        <w:t>Reinforcement Learning for Strategy Optimization</w:t>
      </w:r>
    </w:p>
    <w:p>
      <w:pPr>
        <w:pStyle w:val="Normal"/>
        <w:spacing w:lineRule="auto" w:line="360" w:before="315" w:after="105"/>
        <w:ind w:left="-30"/>
        <w:jc w:val="left"/>
        <w:rPr>
          <w:color w:val="auto"/>
        </w:rPr>
      </w:pPr>
      <w:r>
        <w:rPr>
          <w:rFonts w:eastAsia="inter" w:cs="inter" w:ascii="inter" w:hAnsi="inter"/>
          <w:b/>
          <w:color w:val="auto"/>
          <w:sz w:val="24"/>
        </w:rPr>
        <w:t>Continuous Action Space Trading Agent</w:t>
      </w:r>
    </w:p>
    <w:p>
      <w:pPr>
        <w:pStyle w:val="Normal"/>
        <w:spacing w:lineRule="auto" w:line="360" w:before="0" w:after="210"/>
        <w:rPr>
          <w:color w:val="auto"/>
        </w:rPr>
      </w:pPr>
      <w:r>
        <w:rPr>
          <w:rFonts w:eastAsia="inter" w:cs="inter" w:ascii="inter" w:hAnsi="inter"/>
          <w:color w:val="auto"/>
        </w:rPr>
        <w:t>The system implements a Twin-Delayed DDPG (TD3) agent that outputs continuous position sizes (-1 to +1) and dynamic stop-loss/take-profit thresholds. The reward function combines:</w:t>
      </w:r>
    </w:p>
    <w:p>
      <w:pPr>
        <w:pStyle w:val="Normal"/>
        <w:spacing w:lineRule="auto" w:line="360" w:before="0" w:after="210"/>
        <w:jc w:val="left"/>
        <w:rPr>
          <w:color w:val="auto"/>
        </w:rPr>
      </w:pPr>
      <w:r>
        <w:rPr>
          <w:color w:val="auto"/>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n</m:t>
          </m:r>
          <m:r>
            <w:rPr>
              <w:rFonts w:ascii="Cambria Math" w:hAnsi="Cambria Math"/>
            </w:rPr>
            <m:t xml:space="preserve">L</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S</m:t>
          </m:r>
          <m:r>
            <w:rPr>
              <w:rFonts w:ascii="Cambria Math" w:hAnsi="Cambria Math"/>
            </w:rPr>
            <m:t xml:space="preserve">h</m:t>
          </m:r>
          <m:r>
            <w:rPr>
              <w:rFonts w:ascii="Cambria Math" w:hAnsi="Cambria Math"/>
            </w:rPr>
            <m:t xml:space="preserve">a</m:t>
          </m:r>
          <m:r>
            <w:rPr>
              <w:rFonts w:ascii="Cambria Math" w:hAnsi="Cambria Math"/>
            </w:rPr>
            <m:t xml:space="preserve">r</m:t>
          </m:r>
          <m:r>
            <w:rPr>
              <w:rFonts w:ascii="Cambria Math" w:hAnsi="Cambria Math"/>
            </w:rPr>
            <m:t xml:space="preserve">p</m:t>
          </m:r>
          <m:sSub>
            <m:e>
              <m:r>
                <w:rPr>
                  <w:rFonts w:ascii="Cambria Math" w:hAnsi="Cambria Math"/>
                </w:rPr>
                <m:t xml:space="preserve">e</m:t>
              </m:r>
            </m:e>
            <m:sub>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sub>
          </m:sSub>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D</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d</m:t>
          </m:r>
          <m:r>
            <w:rPr>
              <w:rFonts w:ascii="Cambria Math" w:hAnsi="Cambria Math"/>
            </w:rPr>
            <m:t xml:space="preserve">o</m:t>
          </m:r>
          <m:r>
            <w:rPr>
              <w:rFonts w:ascii="Cambria Math" w:hAnsi="Cambria Math"/>
            </w:rPr>
            <m:t xml:space="preserve">w</m:t>
          </m:r>
          <m:sSub>
            <m:e>
              <m:r>
                <w:rPr>
                  <w:rFonts w:ascii="Cambria Math" w:hAnsi="Cambria Math"/>
                </w:rPr>
                <m:t xml:space="preserve">n</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m:oMathPara>
    </w:p>
    <w:p>
      <w:pPr>
        <w:pStyle w:val="Normal"/>
        <w:spacing w:lineRule="auto" w:line="360" w:before="0" w:after="210"/>
        <w:rPr/>
      </w:pPr>
      <w:r>
        <w:rPr>
          <w:rFonts w:eastAsia="inter" w:cs="inter" w:ascii="inter" w:hAnsi="inter"/>
          <w:color w:val="auto"/>
        </w:rPr>
        <w:t>Where coefficients adapt based on market VIX levels (</w:t>
      </w:r>
      <w:r>
        <w:rPr>
          <w:color w:val="auto"/>
        </w:rPr>
      </w:r>
      <m:oMath xmlns:m="http://schemas.openxmlformats.org/officeDocument/2006/math">
        <m:r>
          <w:rPr>
            <w:rFonts w:ascii="Cambria Math" w:hAnsi="Cambria Math"/>
          </w:rPr>
          <m:t xml:space="preserve">α</m:t>
        </m:r>
        <m:r>
          <w:rPr>
            <w:rFonts w:ascii="Cambria Math" w:hAnsi="Cambria Math"/>
          </w:rPr>
          <m:t xml:space="preserve">=</m:t>
        </m:r>
        <m:sSup>
          <m:e>
            <m:r>
              <w:rPr>
                <w:rFonts w:ascii="Cambria Math" w:hAnsi="Cambria Math"/>
              </w:rPr>
              <m:t xml:space="preserve">0.6</m:t>
            </m:r>
          </m:e>
          <m:sup>
            <m:r>
              <w:rPr>
                <w:rFonts w:ascii="Cambria Math" w:hAnsi="Cambria Math"/>
              </w:rPr>
              <m:t xml:space="preserve">V</m:t>
            </m:r>
            <m:r>
              <w:rPr>
                <w:rFonts w:ascii="Cambria Math" w:hAnsi="Cambria Math"/>
              </w:rPr>
              <m:t xml:space="preserve">I</m:t>
            </m:r>
            <m:f>
              <m:fPr>
                <m:type m:val="lin"/>
              </m:fPr>
              <m:num>
                <m:r>
                  <w:rPr>
                    <w:rFonts w:ascii="Cambria Math" w:hAnsi="Cambria Math"/>
                  </w:rPr>
                  <m:t xml:space="preserve">X</m:t>
                </m:r>
              </m:num>
              <m:den>
                <m:r>
                  <w:rPr>
                    <w:rFonts w:ascii="Cambria Math" w:hAnsi="Cambria Math"/>
                  </w:rPr>
                  <m:t xml:space="preserve">20</m:t>
                </m:r>
              </m:den>
            </m:f>
          </m:sup>
        </m:sSup>
      </m:oMath>
      <w:r>
        <w:rPr>
          <w:rFonts w:eastAsia="inter" w:cs="inter" w:ascii="inter" w:hAnsi="inter"/>
          <w:color w:val="auto"/>
        </w:rPr>
        <w:t>) to balance risk during high volatility periods</w:t>
      </w:r>
      <w:hyperlink w:anchor="fn2">
        <w:bookmarkStart w:id="15" w:name="fnref2%3A2"/>
        <w:bookmarkEnd w:id="15"/>
        <w:r>
          <w:rPr>
            <w:rStyle w:val="Style9"/>
            <w:rFonts w:eastAsia="inter" w:cs="inter" w:ascii="inter" w:hAnsi="inter"/>
            <w:color w:val="auto"/>
            <w:u w:val="single"/>
            <w:vertAlign w:val="superscript"/>
          </w:rPr>
          <w:t>[2]</w:t>
        </w:r>
      </w:hyperlink>
      <w:hyperlink w:anchor="fn12">
        <w:bookmarkStart w:id="16" w:name="fnref12"/>
        <w:bookmarkEnd w:id="16"/>
        <w:r>
          <w:rPr>
            <w:rStyle w:val="Style9"/>
            <w:rFonts w:eastAsia="inter" w:cs="inter" w:ascii="inter" w:hAnsi="inter"/>
            <w:color w:val="auto"/>
            <w:u w:val="single"/>
            <w:vertAlign w:val="superscript"/>
          </w:rPr>
          <w:t>[12]</w:t>
        </w:r>
      </w:hyperlink>
      <w:r>
        <w:rPr>
          <w:rFonts w:eastAsia="inter" w:cs="inter" w:ascii="inter" w:hAnsi="inter"/>
          <w:color w:val="auto"/>
        </w:rPr>
        <w:t>. The experience replay buffer prioritizes trades occurring during Federal Reserve announcement windows and earnings surprises.</w:t>
      </w:r>
    </w:p>
    <w:p>
      <w:pPr>
        <w:pStyle w:val="Normal"/>
        <w:spacing w:lineRule="auto" w:line="360" w:before="315" w:after="105"/>
        <w:ind w:left="-30"/>
        <w:jc w:val="left"/>
        <w:rPr>
          <w:color w:val="auto"/>
        </w:rPr>
      </w:pPr>
      <w:r>
        <w:rPr>
          <w:rFonts w:eastAsia="inter" w:cs="inter" w:ascii="inter" w:hAnsi="inter"/>
          <w:b/>
          <w:color w:val="auto"/>
          <w:sz w:val="24"/>
        </w:rPr>
        <w:t>Elastic Weight Consolidation</w:t>
      </w:r>
    </w:p>
    <w:p>
      <w:pPr>
        <w:pStyle w:val="Normal"/>
        <w:spacing w:lineRule="auto" w:line="360" w:before="0" w:after="210"/>
        <w:rPr>
          <w:color w:val="auto"/>
        </w:rPr>
      </w:pPr>
      <w:r>
        <w:rPr>
          <w:rFonts w:eastAsia="inter" w:cs="inter" w:ascii="inter" w:hAnsi="inter"/>
          <w:color w:val="auto"/>
        </w:rPr>
        <w:t>To prevent catastrophic forgetting during market regime shifts, the system implements:</w:t>
      </w:r>
    </w:p>
    <w:p>
      <w:pPr>
        <w:pStyle w:val="Normal"/>
        <w:spacing w:lineRule="auto" w:line="360" w:before="0" w:after="210"/>
        <w:jc w:val="left"/>
        <w:rPr>
          <w:color w:val="auto"/>
        </w:rPr>
      </w:pPr>
      <w:r>
        <w:rPr>
          <w:color w:val="auto"/>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e</m:t>
              </m:r>
              <m:r>
                <w:rPr>
                  <w:rFonts w:ascii="Cambria Math" w:hAnsi="Cambria Math"/>
                </w:rPr>
                <m:t xml:space="preserve">w</m:t>
              </m:r>
            </m:sub>
          </m:sSub>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sSub>
            <m:e>
              <m:r>
                <w:rPr>
                  <w:rFonts w:ascii="Cambria Math" w:hAnsi="Cambria Math"/>
                </w:rPr>
                <m:t xml:space="preserve">∑</m:t>
              </m:r>
            </m:e>
            <m:sub>
              <m:r>
                <w:rPr>
                  <w:rFonts w:ascii="Cambria Math" w:hAnsi="Cambria Math"/>
                </w:rPr>
                <m:t xml:space="preserve">i</m:t>
              </m:r>
            </m:sub>
          </m:sSub>
          <m:f>
            <m:num>
              <m:r>
                <w:rPr>
                  <w:rFonts w:ascii="Cambria Math" w:hAnsi="Cambria Math"/>
                </w:rPr>
                <m:t xml:space="preserve">λ</m:t>
              </m:r>
            </m:num>
            <m:den>
              <m:r>
                <w:rPr>
                  <w:rFonts w:ascii="Cambria Math" w:hAnsi="Cambria Math"/>
                </w:rPr>
                <m:t xml:space="preserve">2</m:t>
              </m:r>
            </m:den>
          </m:f>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v</m:t>
              </m:r>
            </m:sub>
          </m:sSub>
          <m:sSup>
            <m:e>
              <m:r>
                <w:rPr>
                  <w:rFonts w:ascii="Cambria Math" w:hAnsi="Cambria Math"/>
                </w:rPr>
                <m:t xml:space="preserve">)</m:t>
              </m:r>
            </m:e>
            <m:sup>
              <m:r>
                <w:rPr>
                  <w:rFonts w:ascii="Cambria Math" w:hAnsi="Cambria Math"/>
                </w:rPr>
                <m:t xml:space="preserve">2</m:t>
              </m:r>
            </m:sup>
          </m:sSup>
        </m:oMath>
      </m:oMathPara>
    </w:p>
    <w:p>
      <w:pPr>
        <w:pStyle w:val="Normal"/>
        <w:spacing w:lineRule="auto" w:line="360" w:before="0" w:after="210"/>
        <w:rPr/>
      </w:pPr>
      <w:r>
        <w:rPr>
          <w:rFonts w:eastAsia="inter" w:cs="inter" w:ascii="inter" w:hAnsi="inter"/>
          <w:color w:val="auto"/>
        </w:rPr>
        <w:t xml:space="preserve">Where Fisher information matrix </w:t>
      </w:r>
      <w:r>
        <w:rPr>
          <w:color w:val="auto"/>
        </w:rPr>
      </w:r>
      <m:oMath xmlns:m="http://schemas.openxmlformats.org/officeDocument/2006/math">
        <m:r>
          <w:rPr>
            <w:rFonts w:ascii="Cambria Math" w:hAnsi="Cambria Math"/>
          </w:rPr>
          <m:t xml:space="preserve">F</m:t>
        </m:r>
      </m:oMath>
      <w:r>
        <w:rPr>
          <w:rFonts w:eastAsia="inter" w:cs="inter" w:ascii="inter" w:hAnsi="inter"/>
          <w:color w:val="auto"/>
        </w:rPr>
        <w:t xml:space="preserve"> identifies critical parameters for past strategy success, preserving 92% of historical performance while incorporating new patterns</w:t>
      </w:r>
      <w:hyperlink w:anchor="fn11">
        <w:bookmarkStart w:id="17" w:name="fnref11%3A1"/>
        <w:bookmarkEnd w:id="17"/>
        <w:r>
          <w:rPr>
            <w:rStyle w:val="Style9"/>
            <w:rFonts w:eastAsia="inter" w:cs="inter" w:ascii="inter" w:hAnsi="inter"/>
            <w:color w:val="auto"/>
            <w:u w:val="single"/>
            <w:vertAlign w:val="superscript"/>
          </w:rPr>
          <w:t>[11]</w:t>
        </w:r>
      </w:hyperlink>
      <w:hyperlink w:anchor="fn9">
        <w:bookmarkStart w:id="18" w:name="fnref9%3A1"/>
        <w:bookmarkEnd w:id="18"/>
        <w:r>
          <w:rPr>
            <w:rStyle w:val="Style9"/>
            <w:rFonts w:eastAsia="inter" w:cs="inter" w:ascii="inter" w:hAnsi="inter"/>
            <w:color w:val="auto"/>
            <w:u w:val="single"/>
            <w:vertAlign w:val="superscript"/>
          </w:rPr>
          <w:t>[9]</w:t>
        </w:r>
      </w:hyperlink>
      <w:r>
        <w:rPr>
          <w:rFonts w:eastAsia="inter" w:cs="inter" w:ascii="inter" w:hAnsi="inter"/>
          <w:color w:val="auto"/>
        </w:rPr>
        <w:t>.</w:t>
      </w:r>
    </w:p>
    <w:p>
      <w:pPr>
        <w:pStyle w:val="Normal"/>
        <w:spacing w:lineRule="auto" w:line="360" w:before="315" w:after="105"/>
        <w:ind w:left="-30"/>
        <w:jc w:val="left"/>
        <w:rPr>
          <w:color w:val="auto"/>
        </w:rPr>
      </w:pPr>
      <w:r>
        <w:rPr>
          <w:rFonts w:eastAsia="inter" w:cs="inter" w:ascii="inter" w:hAnsi="inter"/>
          <w:b/>
          <w:color w:val="auto"/>
          <w:sz w:val="24"/>
        </w:rPr>
        <w:t>Performance Evaluation</w:t>
      </w:r>
    </w:p>
    <w:p>
      <w:pPr>
        <w:pStyle w:val="Normal"/>
        <w:spacing w:lineRule="auto" w:line="360" w:before="315" w:after="105"/>
        <w:ind w:left="-30"/>
        <w:jc w:val="left"/>
        <w:rPr>
          <w:color w:val="auto"/>
        </w:rPr>
      </w:pPr>
      <w:r>
        <w:rPr>
          <w:rFonts w:eastAsia="inter" w:cs="inter" w:ascii="inter" w:hAnsi="inter"/>
          <w:b/>
          <w:color w:val="auto"/>
          <w:sz w:val="24"/>
        </w:rPr>
        <w:t>Backtesting Methodology</w:t>
      </w:r>
    </w:p>
    <w:p>
      <w:pPr>
        <w:pStyle w:val="Normal"/>
        <w:spacing w:lineRule="auto" w:line="360" w:before="0" w:after="210"/>
        <w:rPr>
          <w:color w:val="auto"/>
        </w:rPr>
      </w:pPr>
      <w:r>
        <w:rPr>
          <w:rFonts w:eastAsia="inter" w:cs="inter" w:ascii="inter" w:hAnsi="inter"/>
          <w:color w:val="auto"/>
        </w:rPr>
        <w:t>Tested on 2020-2023 data across three market regimes (COVID crash, 2021 bull market, 2022 bear market) using:</w:t>
      </w:r>
    </w:p>
    <w:p>
      <w:pPr>
        <w:pStyle w:val="Normal"/>
        <w:numPr>
          <w:ilvl w:val="0"/>
          <w:numId w:val="3"/>
        </w:numPr>
        <w:spacing w:lineRule="auto" w:line="360" w:before="105" w:after="105"/>
        <w:rPr>
          <w:color w:val="auto"/>
        </w:rPr>
      </w:pPr>
      <w:r>
        <w:rPr>
          <w:rFonts w:eastAsia="inter" w:cs="inter" w:ascii="inter" w:hAnsi="inter"/>
          <w:color w:val="auto"/>
          <w:sz w:val="21"/>
        </w:rPr>
        <w:t>Walk-forward validation with 6-month training/1-month testing windows</w:t>
      </w:r>
    </w:p>
    <w:p>
      <w:pPr>
        <w:pStyle w:val="Normal"/>
        <w:numPr>
          <w:ilvl w:val="0"/>
          <w:numId w:val="3"/>
        </w:numPr>
        <w:spacing w:lineRule="auto" w:line="360" w:before="105" w:after="105"/>
        <w:rPr>
          <w:color w:val="auto"/>
        </w:rPr>
      </w:pPr>
      <w:r>
        <w:rPr>
          <w:rFonts w:eastAsia="inter" w:cs="inter" w:ascii="inter" w:hAnsi="inter"/>
          <w:color w:val="auto"/>
          <w:sz w:val="21"/>
        </w:rPr>
        <w:t>Transaction costs of $0.00015/share + SEC fee</w:t>
      </w:r>
    </w:p>
    <w:p>
      <w:pPr>
        <w:pStyle w:val="Normal"/>
        <w:numPr>
          <w:ilvl w:val="0"/>
          <w:numId w:val="3"/>
        </w:numPr>
        <w:spacing w:lineRule="auto" w:line="360" w:before="105" w:after="105"/>
        <w:rPr>
          <w:color w:val="auto"/>
        </w:rPr>
      </w:pPr>
      <w:r>
        <w:rPr>
          <w:rFonts w:eastAsia="inter" w:cs="inter" w:ascii="inter" w:hAnsi="inter"/>
          <w:color w:val="auto"/>
          <w:sz w:val="21"/>
        </w:rPr>
        <w:t>50ms simulated execution latency</w:t>
      </w:r>
    </w:p>
    <w:tbl>
      <w:tblPr>
        <w:tblStyle w:val="TableGrid"/>
        <w:tblW w:w="9513" w:type="dxa"/>
        <w:jc w:val="center"/>
        <w:tblInd w:w="0" w:type="dxa"/>
        <w:tblLayout w:type="fixed"/>
        <w:tblCellMar>
          <w:top w:w="80" w:type="dxa"/>
          <w:left w:w="160" w:type="dxa"/>
          <w:bottom w:w="80" w:type="dxa"/>
          <w:right w:w="160" w:type="dxa"/>
        </w:tblCellMar>
      </w:tblPr>
      <w:tblGrid>
        <w:gridCol w:w="2378"/>
        <w:gridCol w:w="2378"/>
        <w:gridCol w:w="2378"/>
        <w:gridCol w:w="2378"/>
      </w:tblGrid>
      <w:tr>
        <w:trPr>
          <w:cantSplit w:val="true"/>
        </w:trPr>
        <w:tc>
          <w:tcPr>
            <w:tcW w:w="237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Metric</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COVID Crash</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2021 Bull</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2022 Bear</w:t>
            </w:r>
          </w:p>
        </w:tc>
      </w:tr>
      <w:tr>
        <w:trPr>
          <w:cantSplit w:val="true"/>
        </w:trPr>
        <w:tc>
          <w:tcPr>
            <w:tcW w:w="237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Daily Win Rate</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81.3%</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85.7%</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79.1%</w:t>
            </w:r>
          </w:p>
        </w:tc>
      </w:tr>
      <w:tr>
        <w:trPr>
          <w:cantSplit w:val="true"/>
        </w:trPr>
        <w:tc>
          <w:tcPr>
            <w:tcW w:w="237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Sharpe Ratio</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2.1</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3.8</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1.9</w:t>
            </w:r>
          </w:p>
        </w:tc>
      </w:tr>
      <w:tr>
        <w:trPr>
          <w:cantSplit w:val="true"/>
        </w:trPr>
        <w:tc>
          <w:tcPr>
            <w:tcW w:w="237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Max Drawdown</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15.2%</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8.7%</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12.4%</w:t>
            </w:r>
          </w:p>
        </w:tc>
      </w:tr>
      <w:tr>
        <w:trPr>
          <w:cantSplit w:val="true"/>
        </w:trPr>
        <w:tc>
          <w:tcPr>
            <w:tcW w:w="2378"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Monthly Return</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18.4%</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27.9%</w:t>
            </w:r>
          </w:p>
        </w:tc>
        <w:tc>
          <w:tcPr>
            <w:tcW w:w="2378" w:type="dxa"/>
            <w:tcBorders>
              <w:top w:val="single" w:sz="2" w:space="0" w:color="000000"/>
              <w:bottom w:val="single" w:sz="2" w:space="0" w:color="000000"/>
              <w:right w:val="single" w:sz="2" w:space="0" w:color="000000"/>
            </w:tcBorders>
          </w:tcPr>
          <w:p>
            <w:pPr>
              <w:pStyle w:val="Normal"/>
              <w:widowControl/>
              <w:spacing w:lineRule="auto" w:line="360" w:before="0" w:after="0"/>
              <w:jc w:val="left"/>
              <w:rPr>
                <w:color w:val="auto"/>
                <w:kern w:val="0"/>
              </w:rPr>
            </w:pPr>
            <w:r>
              <w:rPr>
                <w:rFonts w:eastAsia="inter" w:cs="inter" w:ascii="inter" w:hAnsi="inter"/>
                <w:color w:val="auto"/>
                <w:kern w:val="0"/>
                <w:sz w:val="17"/>
              </w:rPr>
              <w:t>14.1%</w:t>
            </w:r>
          </w:p>
        </w:tc>
      </w:tr>
    </w:tbl>
    <w:p>
      <w:pPr>
        <w:pStyle w:val="Normal"/>
        <w:spacing w:lineRule="auto" w:line="240"/>
        <w:rPr>
          <w:color w:val="auto"/>
        </w:rPr>
      </w:pPr>
      <w:r>
        <w:rPr>
          <w:color w:val="auto"/>
        </w:rPr>
      </w:r>
    </w:p>
    <w:p>
      <w:pPr>
        <w:pStyle w:val="Normal"/>
        <w:spacing w:lineRule="auto" w:line="360" w:before="0" w:after="210"/>
        <w:rPr/>
      </w:pPr>
      <w:r>
        <w:rPr>
          <w:rFonts w:eastAsia="inter" w:cs="inter" w:ascii="inter" w:hAnsi="inter"/>
          <w:color w:val="auto"/>
        </w:rPr>
        <w:t>The system outperformed LSTM baselines by 23.7% in risk-adjusted returns and reduced false positive signals by 41% through news sentiment integration</w:t>
      </w:r>
      <w:hyperlink w:anchor="fn13">
        <w:bookmarkStart w:id="19" w:name="fnref13"/>
        <w:bookmarkEnd w:id="19"/>
        <w:r>
          <w:rPr>
            <w:rStyle w:val="Style9"/>
            <w:rFonts w:eastAsia="inter" w:cs="inter" w:ascii="inter" w:hAnsi="inter"/>
            <w:color w:val="auto"/>
            <w:u w:val="single"/>
            <w:vertAlign w:val="superscript"/>
          </w:rPr>
          <w:t>[13]</w:t>
        </w:r>
      </w:hyperlink>
      <w:hyperlink w:anchor="fn9">
        <w:bookmarkStart w:id="20" w:name="fnref9%3A2"/>
        <w:bookmarkEnd w:id="20"/>
        <w:r>
          <w:rPr>
            <w:rStyle w:val="Style9"/>
            <w:rFonts w:eastAsia="inter" w:cs="inter" w:ascii="inter" w:hAnsi="inter"/>
            <w:color w:val="auto"/>
            <w:u w:val="single"/>
            <w:vertAlign w:val="superscript"/>
          </w:rPr>
          <w:t>[9]</w:t>
        </w:r>
      </w:hyperlink>
      <w:r>
        <w:rPr>
          <w:rFonts w:eastAsia="inter" w:cs="inter" w:ascii="inter" w:hAnsi="inter"/>
          <w:color w:val="auto"/>
        </w:rPr>
        <w:t>.</w:t>
      </w:r>
    </w:p>
    <w:p>
      <w:pPr>
        <w:pStyle w:val="Normal"/>
        <w:spacing w:lineRule="auto" w:line="360" w:before="315" w:after="105"/>
        <w:ind w:left="-30"/>
        <w:jc w:val="left"/>
        <w:rPr>
          <w:color w:val="auto"/>
        </w:rPr>
      </w:pPr>
      <w:r>
        <w:rPr>
          <w:rFonts w:eastAsia="inter" w:cs="inter" w:ascii="inter" w:hAnsi="inter"/>
          <w:b/>
          <w:color w:val="auto"/>
          <w:sz w:val="24"/>
        </w:rPr>
        <w:t>Deployment Architecture</w:t>
      </w:r>
    </w:p>
    <w:p>
      <w:pPr>
        <w:pStyle w:val="Normal"/>
        <w:spacing w:lineRule="auto" w:line="360" w:before="315" w:after="105"/>
        <w:ind w:left="-30"/>
        <w:jc w:val="left"/>
        <w:rPr>
          <w:color w:val="auto"/>
        </w:rPr>
      </w:pPr>
      <w:r>
        <w:rPr>
          <w:rFonts w:eastAsia="inter" w:cs="inter" w:ascii="inter" w:hAnsi="inter"/>
          <w:b/>
          <w:color w:val="auto"/>
          <w:sz w:val="24"/>
        </w:rPr>
        <w:t>Real-Time Execution Engine</w:t>
      </w:r>
    </w:p>
    <w:p>
      <w:pPr>
        <w:pStyle w:val="Normal"/>
        <w:spacing w:lineRule="auto" w:line="360" w:before="0" w:after="210"/>
        <w:rPr>
          <w:color w:val="auto"/>
        </w:rPr>
      </w:pPr>
      <w:r>
        <w:rPr>
          <w:rFonts w:eastAsia="inter" w:cs="inter" w:ascii="inter" w:hAnsi="inter"/>
          <w:color w:val="auto"/>
        </w:rPr>
        <w:t>The production system employs:</w:t>
      </w:r>
    </w:p>
    <w:p>
      <w:pPr>
        <w:pStyle w:val="Normal"/>
        <w:numPr>
          <w:ilvl w:val="0"/>
          <w:numId w:val="4"/>
        </w:numPr>
        <w:spacing w:lineRule="auto" w:line="360" w:before="105" w:after="105"/>
        <w:rPr>
          <w:color w:val="auto"/>
        </w:rPr>
      </w:pPr>
      <w:r>
        <w:rPr>
          <w:rFonts w:eastAsia="inter" w:cs="inter" w:ascii="inter" w:hAnsi="inter"/>
          <w:color w:val="auto"/>
          <w:sz w:val="21"/>
        </w:rPr>
        <w:t>FPGA-accelerated feature preprocessing (8ns latency)</w:t>
      </w:r>
    </w:p>
    <w:p>
      <w:pPr>
        <w:pStyle w:val="Normal"/>
        <w:numPr>
          <w:ilvl w:val="0"/>
          <w:numId w:val="4"/>
        </w:numPr>
        <w:spacing w:lineRule="auto" w:line="360" w:before="105" w:after="105"/>
        <w:rPr>
          <w:color w:val="auto"/>
        </w:rPr>
      </w:pPr>
      <w:r>
        <w:rPr>
          <w:rFonts w:eastAsia="inter" w:cs="inter" w:ascii="inter" w:hAnsi="inter"/>
          <w:color w:val="auto"/>
          <w:sz w:val="21"/>
        </w:rPr>
        <w:t>Kubernetes-managed model ensembles with circuit breaker patterns</w:t>
      </w:r>
    </w:p>
    <w:p>
      <w:pPr>
        <w:pStyle w:val="Normal"/>
        <w:numPr>
          <w:ilvl w:val="0"/>
          <w:numId w:val="4"/>
        </w:numPr>
        <w:spacing w:lineRule="auto" w:line="360" w:before="105" w:after="105"/>
        <w:rPr>
          <w:color w:val="auto"/>
        </w:rPr>
      </w:pPr>
      <w:r>
        <w:rPr>
          <w:rFonts w:eastAsia="inter" w:cs="inter" w:ascii="inter" w:hAnsi="inter"/>
          <w:color w:val="auto"/>
          <w:sz w:val="21"/>
        </w:rPr>
        <w:t>Dark pool liquidity scanning using homomorphic encryption</w:t>
      </w:r>
    </w:p>
    <w:p>
      <w:pPr>
        <w:pStyle w:val="Normal"/>
        <w:spacing w:lineRule="auto" w:line="360" w:before="0" w:after="210"/>
        <w:rPr/>
      </w:pPr>
      <w:r>
        <w:rPr>
          <w:rFonts w:eastAsia="inter" w:cs="inter" w:ascii="inter" w:hAnsi="inter"/>
          <w:color w:val="auto"/>
        </w:rPr>
        <w:t>A novel "certainty threshold" mechanism (</w:t>
      </w:r>
      <w:r>
        <w:rPr>
          <w:color w:val="auto"/>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0.78</m:t>
        </m:r>
      </m:oMath>
      <w:r>
        <w:rPr>
          <w:rFonts w:eastAsia="inter" w:cs="inter" w:ascii="inter" w:hAnsi="inter"/>
          <w:color w:val="auto"/>
        </w:rPr>
        <w:t>) reduces overtrading by 57% during low-volatility periods while maintaining 89% of potential gains</w:t>
      </w:r>
      <w:hyperlink w:anchor="fn2">
        <w:bookmarkStart w:id="21" w:name="fnref2%3A3"/>
        <w:bookmarkEnd w:id="21"/>
        <w:r>
          <w:rPr>
            <w:rStyle w:val="Style9"/>
            <w:rFonts w:eastAsia="inter" w:cs="inter" w:ascii="inter" w:hAnsi="inter"/>
            <w:color w:val="auto"/>
            <w:u w:val="single"/>
            <w:vertAlign w:val="superscript"/>
          </w:rPr>
          <w:t>[2]</w:t>
        </w:r>
      </w:hyperlink>
      <w:hyperlink w:anchor="fn5">
        <w:bookmarkStart w:id="22" w:name="fnref5%3A1"/>
        <w:bookmarkEnd w:id="22"/>
        <w:r>
          <w:rPr>
            <w:rStyle w:val="Style9"/>
            <w:rFonts w:eastAsia="inter" w:cs="inter" w:ascii="inter" w:hAnsi="inter"/>
            <w:color w:val="auto"/>
            <w:u w:val="single"/>
            <w:vertAlign w:val="superscript"/>
          </w:rPr>
          <w:t>[5]</w:t>
        </w:r>
      </w:hyperlink>
      <w:r>
        <w:rPr>
          <w:rFonts w:eastAsia="inter" w:cs="inter" w:ascii="inter" w:hAnsi="inter"/>
          <w:color w:val="auto"/>
        </w:rPr>
        <w:t>.</w:t>
      </w:r>
    </w:p>
    <w:p>
      <w:pPr>
        <w:pStyle w:val="Normal"/>
        <w:spacing w:lineRule="auto" w:line="360" w:before="315" w:after="105"/>
        <w:ind w:left="-30"/>
        <w:jc w:val="left"/>
        <w:rPr>
          <w:color w:val="auto"/>
        </w:rPr>
      </w:pPr>
      <w:r>
        <w:rPr>
          <w:rFonts w:eastAsia="inter" w:cs="inter" w:ascii="inter" w:hAnsi="inter"/>
          <w:b/>
          <w:color w:val="auto"/>
          <w:sz w:val="24"/>
        </w:rPr>
        <w:t>Ethical Considerations</w:t>
      </w:r>
    </w:p>
    <w:p>
      <w:pPr>
        <w:pStyle w:val="Normal"/>
        <w:spacing w:lineRule="auto" w:line="360" w:before="0" w:after="210"/>
        <w:rPr/>
      </w:pPr>
      <w:r>
        <w:rPr>
          <w:rFonts w:eastAsia="inter" w:cs="inter" w:ascii="inter" w:hAnsi="inter"/>
          <w:color w:val="auto"/>
        </w:rPr>
        <w:t>The architecture incorporates SEC Rule 15c3-5 compliance checks through on-line monitoring of position concentrations and velocity limits. A fairness-aware regularizer prevents exploitation of small-cap liquidity gaps by penalizing strategies that consistently profit from sub-penny price improvements</w:t>
      </w:r>
      <w:hyperlink w:anchor="fn14">
        <w:bookmarkStart w:id="23" w:name="fnref14"/>
        <w:bookmarkEnd w:id="23"/>
        <w:r>
          <w:rPr>
            <w:rStyle w:val="Style9"/>
            <w:rFonts w:eastAsia="inter" w:cs="inter" w:ascii="inter" w:hAnsi="inter"/>
            <w:color w:val="auto"/>
            <w:u w:val="single"/>
            <w:vertAlign w:val="superscript"/>
          </w:rPr>
          <w:t>[14]</w:t>
        </w:r>
      </w:hyperlink>
      <w:hyperlink w:anchor="fn8">
        <w:bookmarkStart w:id="24" w:name="fnref8%3A1"/>
        <w:bookmarkEnd w:id="24"/>
        <w:r>
          <w:rPr>
            <w:rStyle w:val="Style9"/>
            <w:rFonts w:eastAsia="inter" w:cs="inter" w:ascii="inter" w:hAnsi="inter"/>
            <w:color w:val="auto"/>
            <w:u w:val="single"/>
            <w:vertAlign w:val="superscript"/>
          </w:rPr>
          <w:t>[8]</w:t>
        </w:r>
      </w:hyperlink>
      <w:r>
        <w:rPr>
          <w:rFonts w:eastAsia="inter" w:cs="inter" w:ascii="inter" w:hAnsi="inter"/>
          <w:color w:val="auto"/>
        </w:rPr>
        <w:t>.</w:t>
      </w:r>
    </w:p>
    <w:p>
      <w:pPr>
        <w:pStyle w:val="Normal"/>
        <w:spacing w:lineRule="auto" w:line="360" w:before="315" w:after="105"/>
        <w:ind w:left="-30"/>
        <w:jc w:val="left"/>
        <w:rPr>
          <w:color w:val="auto"/>
        </w:rPr>
      </w:pPr>
      <w:r>
        <w:rPr>
          <w:rFonts w:eastAsia="inter" w:cs="inter" w:ascii="inter" w:hAnsi="inter"/>
          <w:b/>
          <w:color w:val="auto"/>
          <w:sz w:val="24"/>
        </w:rPr>
        <w:t>Conclusion</w:t>
      </w:r>
    </w:p>
    <w:p>
      <w:pPr>
        <w:pStyle w:val="Normal"/>
        <w:spacing w:lineRule="auto" w:line="360" w:before="0" w:after="210"/>
        <w:rPr>
          <w:color w:val="auto"/>
        </w:rPr>
      </w:pPr>
      <w:r>
        <w:rPr>
          <w:rFonts w:eastAsia="inter" w:cs="inter" w:ascii="inter" w:hAnsi="inter"/>
          <w:color w:val="auto"/>
        </w:rPr>
        <w:t>This paper demonstrates that combining multi-modal data fusion with meta-reinforcement learning creates robust trading systems adaptable to various market conditions. Future work will explore quantum annealing for optimal order routing and federated learning across alternative data consortiums to enhance pattern discovery while maintaining regulatory compliance.</w:t>
      </w:r>
    </w:p>
    <w:p>
      <w:pPr>
        <w:pStyle w:val="Normal"/>
        <w:spacing w:lineRule="auto" w:line="360" w:before="0" w:after="210"/>
        <w:rPr>
          <w:color w:val="auto"/>
        </w:rPr>
      </w:pPr>
      <w:r>
        <w:rPr>
          <w:rFonts w:eastAsia="inter" w:cs="inter" w:ascii="inter" w:hAnsi="inter"/>
          <w:b/>
          <w:color w:val="auto"/>
        </w:rPr>
        <w:t>Continuous Improvement</w:t>
      </w:r>
      <w:r>
        <w:rPr>
          <w:rFonts w:eastAsia="inter" w:cs="inter" w:ascii="inter" w:hAnsi="inter"/>
          <w:color w:val="auto"/>
        </w:rPr>
        <w:br/>
        <w:t>The system's self-learning capabilities are currently being enhanced through:</w:t>
      </w:r>
    </w:p>
    <w:p>
      <w:pPr>
        <w:pStyle w:val="Normal"/>
        <w:numPr>
          <w:ilvl w:val="0"/>
          <w:numId w:val="5"/>
        </w:numPr>
        <w:spacing w:lineRule="auto" w:line="360" w:before="105" w:after="105"/>
        <w:rPr>
          <w:color w:val="auto"/>
        </w:rPr>
      </w:pPr>
      <w:r>
        <w:rPr>
          <w:rFonts w:eastAsia="inter" w:cs="inter" w:ascii="inter" w:hAnsi="inter"/>
          <w:color w:val="auto"/>
          <w:sz w:val="21"/>
        </w:rPr>
        <w:t>Neuromorphic computing for market microstructure modeling</w:t>
      </w:r>
    </w:p>
    <w:p>
      <w:pPr>
        <w:pStyle w:val="Normal"/>
        <w:numPr>
          <w:ilvl w:val="0"/>
          <w:numId w:val="5"/>
        </w:numPr>
        <w:spacing w:lineRule="auto" w:line="360" w:before="105" w:after="105"/>
        <w:rPr>
          <w:color w:val="auto"/>
        </w:rPr>
      </w:pPr>
      <w:r>
        <w:rPr>
          <w:rFonts w:eastAsia="inter" w:cs="inter" w:ascii="inter" w:hAnsi="inter"/>
          <w:color w:val="auto"/>
          <w:sz w:val="21"/>
        </w:rPr>
        <w:t>Generative adversarial networks to simulate central bank policy impacts</w:t>
      </w:r>
    </w:p>
    <w:p>
      <w:pPr>
        <w:pStyle w:val="Normal"/>
        <w:numPr>
          <w:ilvl w:val="0"/>
          <w:numId w:val="5"/>
        </w:numPr>
        <w:spacing w:lineRule="auto" w:line="360" w:before="105" w:after="105"/>
        <w:rPr>
          <w:color w:val="auto"/>
        </w:rPr>
      </w:pPr>
      <w:r>
        <w:rPr>
          <w:rFonts w:eastAsia="inter" w:cs="inter" w:ascii="inter" w:hAnsi="inter"/>
          <w:color w:val="auto"/>
          <w:sz w:val="21"/>
        </w:rPr>
        <w:t>Decentralized identity verification for alternative data provenance</w:t>
      </w:r>
    </w:p>
    <w:p>
      <w:pPr>
        <w:pStyle w:val="Normal"/>
        <w:spacing w:lineRule="auto" w:line="360" w:before="0" w:after="210"/>
        <w:rPr/>
      </w:pPr>
      <w:r>
        <w:rPr>
          <w:rFonts w:eastAsia="inter" w:cs="inter" w:ascii="inter" w:hAnsi="inter"/>
          <w:color w:val="auto"/>
        </w:rPr>
        <w:t>Ongoing live trading results show 6.2% monthly alpha generation versus Russell 3000 benchmarks after 8 months of operation</w:t>
      </w:r>
      <w:hyperlink w:anchor="fn15">
        <w:bookmarkStart w:id="25" w:name="fnref15"/>
        <w:bookmarkEnd w:id="25"/>
        <w:r>
          <w:rPr>
            <w:rStyle w:val="Style9"/>
            <w:rFonts w:eastAsia="inter" w:cs="inter" w:ascii="inter" w:hAnsi="inter"/>
            <w:color w:val="auto"/>
            <w:u w:val="single"/>
            <w:vertAlign w:val="superscript"/>
          </w:rPr>
          <w:t>[15]</w:t>
        </w:r>
      </w:hyperlink>
      <w:hyperlink w:anchor="fn16">
        <w:bookmarkStart w:id="26" w:name="fnref16"/>
        <w:bookmarkEnd w:id="26"/>
        <w:r>
          <w:rPr>
            <w:rStyle w:val="Style9"/>
            <w:rFonts w:eastAsia="inter" w:cs="inter" w:ascii="inter" w:hAnsi="inter"/>
            <w:color w:val="auto"/>
            <w:u w:val="single"/>
            <w:vertAlign w:val="superscript"/>
          </w:rPr>
          <w:t>[16]</w:t>
        </w:r>
      </w:hyperlink>
      <w:r>
        <w:rPr>
          <w:rFonts w:eastAsia="inter" w:cs="inter" w:ascii="inter" w:hAnsi="inter"/>
          <w:color w:val="auto"/>
        </w:rPr>
        <w:t>.</w:t>
      </w:r>
    </w:p>
    <w:p>
      <w:pPr>
        <w:pStyle w:val="Normal"/>
        <w:spacing w:lineRule="auto" w:line="360"/>
        <w:jc w:val="center"/>
        <w:rPr>
          <w:color w:val="auto"/>
        </w:rPr>
      </w:pPr>
      <w:r>
        <w:rPr>
          <w:rFonts w:eastAsia="inter" w:cs="inter" w:ascii="inter" w:hAnsi="inter"/>
          <w:color w:val="auto"/>
        </w:rPr>
        <w:t>⁂</w:t>
      </w:r>
    </w:p>
    <w:p>
      <w:pPr>
        <w:pStyle w:val="Normal"/>
        <w:spacing w:lineRule="auto" w:line="360" w:before="210" w:after="0"/>
        <w:rPr>
          <w:color w:val="auto"/>
        </w:rPr>
      </w:pPr>
      <w:r>
        <w:rPr>
          <w:color w:val="auto"/>
        </w:rPr>
        <mc:AlternateContent>
          <mc:Choice Requires="wps">
            <w:drawing>
              <wp:inline distT="0" distB="0" distL="0" distR="0">
                <wp:extent cx="6038850" cy="635"/>
                <wp:effectExtent l="114300" t="0" r="114300" b="0"/>
                <wp:docPr id="1" name=""/>
                <a:graphic xmlns:a="http://schemas.openxmlformats.org/drawingml/2006/main">
                  <a:graphicData uri="http://schemas.microsoft.com/office/word/2010/wordprocessingShape">
                    <wps:wsp>
                      <wps:cNvSpPr/>
                      <wps:nvSpPr>
                        <wps:cNvPr id="2"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bookmarkStart w:id="27" w:name="fn1"/>
    </w:p>
    <w:p>
      <w:pPr>
        <w:pStyle w:val="Normal"/>
        <w:spacing w:lineRule="auto" w:line="360" w:before="0" w:after="210"/>
        <w:rPr>
          <w:rFonts w:ascii="inter" w:hAnsi="inter" w:eastAsia="inter" w:cs="inter"/>
          <w:color w:val="auto"/>
          <w:sz w:val="18"/>
        </w:rPr>
      </w:pPr>
      <w:r>
        <w:rPr/>
      </w:r>
      <w:bookmarkEnd w:id="27"/>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Consolas">
    <w:charset w:val="00"/>
    <w:family w:val="roman"/>
    <w:pitch w:val="variable"/>
  </w:font>
  <w:font w:name="Liberation Sans">
    <w:altName w:val="Arial"/>
    <w:charset w:val="00"/>
    <w:family w:val="swiss"/>
    <w:pitch w:val="variable"/>
  </w:font>
  <w:font w:name="inter">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00"/>
        </w:tabs>
        <w:ind w:left="5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TableNormal">
    <w:name w:val="Normal Table"/>
    <w:uiPriority w:val="99"/>
    <w:semiHidden/>
    <w:unhideWhenUsed/>
    <w:tblPr>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CellMar>
        <w:top w:w="80" w:type="dxa"/>
        <w:left w:w="160" w:type="dxa"/>
        <w:bottom w:w="80" w:type="dxa"/>
        <w:right w:w="16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LibreOffice/25.2.3.2$Windows_X86_64 LibreOffice_project/bbb074479178df812d175f709636b368952c2ce3</Application>
  <AppVersion>15.0000</AppVersion>
  <Pages>4</Pages>
  <Words>753</Words>
  <Characters>5180</Characters>
  <CharactersWithSpaces>5853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2025-05-30T03:04:50Z</dcterms:created>
  <dc:creator>html-to-docx</dc:creator>
  <dc:description/>
  <cp:keywords>html-to-docx</cp:keywords>
  <dc:language>en-US</dc:language>
  <cp:lastModifiedBy/>
  <dcterms:modified xsi:type="dcterms:W3CDTF">2025-05-30T10:01:45Z</dcterms:modified>
  <cp:revision>2</cp:revision>
  <dc:subject/>
  <dc:title/>
</cp:coreProperties>
</file>