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99"/>
          <w:sz w:val="44"/>
        </w:rPr>
        <w:t>Billing Console — Fee Types User Guide</w:t>
      </w:r>
    </w:p>
    <w:p>
      <w:pPr>
        <w:jc w:val="center"/>
      </w:pPr>
      <w:r>
        <w:rPr>
          <w:i/>
          <w:color w:val="64748B"/>
          <w:sz w:val="20"/>
        </w:rPr>
        <w:t>Admin Portal Reference · CBS Filter Service · September 2026</w:t>
      </w:r>
    </w:p>
    <w:p/>
    <w:p>
      <w:pPr>
        <w:spacing w:before="400" w:after="120"/>
        <w:pBdr>
          <w:bottom w:val="single" w:sz="12" w:space="4" w:color="FFCC00"/>
        </w:pBdr>
      </w:pPr>
      <w:r>
        <w:rPr>
          <w:b/>
          <w:color w:val="003399"/>
          <w:sz w:val="32"/>
        </w:rPr>
        <w:t>Before You Start</w:t>
      </w:r>
    </w:p>
    <w:p>
      <w:pPr>
        <w:spacing w:after="120"/>
      </w:pPr>
      <w:r>
        <w:rPr>
          <w:sz w:val="21"/>
        </w:rPr>
        <w:t>Every partner in the billing console has three fee directions. Each direction is configured independently.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5669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What it covers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QRPh Fee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Incoming QR P2M transactions (customer pays via QR code)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VCA Fee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sz w:val="20"/>
              </w:rPr>
              <w:t>Incoming P2P / QR_P2P transactions (VCA transfers)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Disburse Fee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Outgoing transactions (partner pays out to customers)</w:t>
            </w:r>
          </w:p>
        </w:tc>
      </w:tr>
    </w:tbl>
    <w:p/>
    <w:p>
      <w:pPr>
        <w:spacing w:before="400" w:after="120"/>
        <w:pBdr>
          <w:bottom w:val="single" w:sz="12" w:space="4" w:color="FFCC00"/>
        </w:pBdr>
      </w:pPr>
      <w:r>
        <w:rPr>
          <w:b/>
          <w:color w:val="003399"/>
          <w:sz w:val="32"/>
        </w:rPr>
        <w:t>Overview — All Fee Types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54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81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Fee Type</w:t>
            </w:r>
          </w:p>
        </w:tc>
        <w:tc>
          <w:tcPr>
            <w:tcW w:type="dxa" w:w="3118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Best for</w:t>
            </w:r>
          </w:p>
        </w:tc>
        <w:tc>
          <w:tcPr>
            <w:tcW w:type="dxa" w:w="1984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Available on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Zero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No charge for this direction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QRPh, VCA, Disburse</w:t>
            </w:r>
          </w:p>
        </w:tc>
      </w:tr>
      <w:tr>
        <w:tc>
          <w:tcPr>
            <w:tcW w:type="dxa" w:w="454"/>
            <w:shd w:val="clear" w:color="auto" w:fill="F8FAFC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81"/>
            <w:shd w:val="clear" w:color="auto" w:fill="F8FAFC"/>
          </w:tcPr>
          <w:p>
            <w:r>
              <w:rPr>
                <w:sz w:val="20"/>
              </w:rPr>
              <w:t>Flat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Same fixed amount every transaction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QRPh, VCA, Disburse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% + Floor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Percentage, never less than a minimum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QRPh, VCA</w:t>
            </w:r>
          </w:p>
        </w:tc>
      </w:tr>
      <w:tr>
        <w:tc>
          <w:tcPr>
            <w:tcW w:type="dxa" w:w="454"/>
            <w:shd w:val="clear" w:color="auto" w:fill="F8FAFC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81"/>
            <w:shd w:val="clear" w:color="auto" w:fill="F8FAFC"/>
          </w:tcPr>
          <w:p>
            <w:r>
              <w:rPr>
                <w:sz w:val="20"/>
              </w:rPr>
              <w:t>% + Floor + Cap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Percentage with both minimum and maximum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QRPh, VCA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Tiered by Amount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Different flat fee per transaction size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QRPh, VCA, Disburse</w:t>
            </w:r>
          </w:p>
        </w:tc>
      </w:tr>
      <w:tr>
        <w:tc>
          <w:tcPr>
            <w:tcW w:type="dxa" w:w="454"/>
            <w:shd w:val="clear" w:color="auto" w:fill="F8FAFC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81"/>
            <w:shd w:val="clear" w:color="auto" w:fill="F8FAFC"/>
          </w:tcPr>
          <w:p>
            <w:r>
              <w:rPr>
                <w:sz w:val="20"/>
              </w:rPr>
              <w:t>Tiered by Amount + Run Count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Amount AND monthly volume both affect the rate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QRPh, VCA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Tiered Percentage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Different percentage per amount range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QRPh, VCA only</w:t>
            </w:r>
          </w:p>
        </w:tc>
      </w:tr>
      <w:tr>
        <w:tc>
          <w:tcPr>
            <w:tcW w:type="dxa" w:w="454"/>
            <w:shd w:val="clear" w:color="auto" w:fill="F8FAFC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81"/>
            <w:shd w:val="clear" w:color="auto" w:fill="F8FAFC"/>
          </w:tcPr>
          <w:p>
            <w:r>
              <w:rPr>
                <w:sz w:val="20"/>
              </w:rPr>
              <w:t>Tiered by Count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All txns same rate based on total monthly volume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Disburse only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Fee Rules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Mix of different conditions and fee types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QRPh, VCA, Disburse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12" w:space="4" w:color="FFCC00"/>
        </w:pBdr>
      </w:pPr>
      <w:r>
        <w:rPr>
          <w:b/>
          <w:color w:val="003399"/>
          <w:sz w:val="32"/>
        </w:rPr>
        <w:t>Fee Type 1: Zero</w:t>
      </w:r>
    </w:p>
    <w:p>
      <w:pPr>
        <w:spacing w:after="120"/>
      </w:pPr>
      <w:r>
        <w:rPr>
          <w:sz w:val="21"/>
        </w:rPr>
        <w:t>Charges no fee for this direction. Use this when a partner is not billed for a specific transaction type.</w:t>
      </w:r>
    </w:p>
    <w:p>
      <w:pPr>
        <w:spacing w:before="280" w:after="80"/>
      </w:pPr>
      <w:r>
        <w:rPr>
          <w:b/>
          <w:caps/>
          <w:color w:val="64748B"/>
          <w:sz w:val="22"/>
        </w:rPr>
        <w:t>When to use</w:t>
      </w:r>
    </w:p>
    <w:p>
      <w:pPr>
        <w:pStyle w:val="ListBullet"/>
        <w:spacing w:after="60"/>
      </w:pPr>
      <w:r>
        <w:rPr>
          <w:sz w:val="21"/>
        </w:rPr>
        <w:t>Partner has no VCA transactions</w:t>
      </w:r>
    </w:p>
    <w:p>
      <w:pPr>
        <w:pStyle w:val="ListBullet"/>
        <w:spacing w:after="60"/>
      </w:pPr>
      <w:r>
        <w:rPr>
          <w:sz w:val="21"/>
        </w:rPr>
        <w:t>Fee was waived for a direction during negotiation</w:t>
      </w:r>
    </w:p>
    <w:p>
      <w:pPr>
        <w:pStyle w:val="ListBullet"/>
        <w:spacing w:after="60"/>
      </w:pPr>
      <w:r>
        <w:rPr>
          <w:sz w:val="21"/>
        </w:rPr>
        <w:t>Direction is not applicable to this partner</w:t>
      </w:r>
    </w:p>
    <w:p>
      <w:pPr>
        <w:spacing w:before="280" w:after="80"/>
      </w:pPr>
      <w:r>
        <w:rPr>
          <w:b/>
          <w:caps/>
          <w:color w:val="64748B"/>
          <w:sz w:val="22"/>
        </w:rPr>
        <w:t>How to configure</w:t>
      </w:r>
    </w:p>
    <w:p>
      <w:pPr>
        <w:pStyle w:val="ListNumber"/>
        <w:spacing w:after="80"/>
      </w:pPr>
      <w:r>
        <w:rPr>
          <w:sz w:val="21"/>
        </w:rPr>
        <w:t>Select Zero — No fee from the Fee Type dropdown</w:t>
      </w:r>
    </w:p>
    <w:p>
      <w:pPr>
        <w:pStyle w:val="ListNumber"/>
        <w:spacing w:after="80"/>
      </w:pPr>
      <w:r>
        <w:rPr>
          <w:sz w:val="21"/>
        </w:rPr>
        <w:t>No additional fields needed — click Save</w:t>
      </w:r>
    </w:p>
    <w:p>
      <w:pPr>
        <w:spacing w:before="80" w:after="160"/>
        <w:ind w:left="283"/>
      </w:pPr>
      <w:r>
        <w:rPr>
          <w:b/>
          <w:color w:val="003399"/>
          <w:sz w:val="21"/>
        </w:rPr>
        <w:t xml:space="preserve">Example: </w:t>
      </w:r>
      <w:r>
        <w:rPr>
          <w:sz w:val="21"/>
        </w:rPr>
        <w:t>VLPay has no VCA billing.  →  Set VCA Fee → Zero</w:t>
      </w:r>
    </w:p>
    <w:p>
      <w:pPr>
        <w:spacing w:before="400" w:after="120"/>
        <w:pBdr>
          <w:bottom w:val="single" w:sz="12" w:space="4" w:color="FFCC00"/>
        </w:pBdr>
      </w:pPr>
      <w:r>
        <w:rPr>
          <w:b/>
          <w:color w:val="003399"/>
          <w:sz w:val="32"/>
        </w:rPr>
        <w:t>Fee Type 2: Flat</w:t>
      </w:r>
    </w:p>
    <w:p>
      <w:pPr>
        <w:spacing w:after="120"/>
      </w:pPr>
      <w:r>
        <w:rPr>
          <w:sz w:val="21"/>
        </w:rPr>
        <w:t>Charges the same fixed PHP amount for every transaction, regardless of transaction size.</w:t>
      </w:r>
    </w:p>
    <w:p>
      <w:pPr>
        <w:spacing w:before="280" w:after="80"/>
      </w:pPr>
      <w:r>
        <w:rPr>
          <w:b/>
          <w:caps/>
          <w:color w:val="64748B"/>
          <w:sz w:val="22"/>
        </w:rPr>
        <w:t>When to use</w:t>
      </w:r>
    </w:p>
    <w:p>
      <w:pPr>
        <w:pStyle w:val="ListBullet"/>
        <w:spacing w:after="60"/>
      </w:pPr>
      <w:r>
        <w:rPr>
          <w:sz w:val="21"/>
        </w:rPr>
        <w:t>Partner has a simple per-transaction fee</w:t>
      </w:r>
    </w:p>
    <w:p>
      <w:pPr>
        <w:pStyle w:val="ListBullet"/>
        <w:spacing w:after="60"/>
      </w:pPr>
      <w:r>
        <w:rPr>
          <w:sz w:val="21"/>
        </w:rPr>
        <w:t>Transaction amount does not affect the fee</w:t>
      </w:r>
    </w:p>
    <w:p>
      <w:pPr>
        <w:spacing w:before="280" w:after="80"/>
      </w:pPr>
      <w:r>
        <w:rPr>
          <w:b/>
          <w:caps/>
          <w:color w:val="64748B"/>
          <w:sz w:val="22"/>
        </w:rPr>
        <w:t>How to configure</w:t>
      </w:r>
    </w:p>
    <w:p>
      <w:pPr>
        <w:pStyle w:val="ListNumber"/>
        <w:spacing w:after="80"/>
      </w:pPr>
      <w:r>
        <w:rPr>
          <w:sz w:val="21"/>
        </w:rPr>
        <w:t>Select Flat — Fixed ₱X per transaction</w:t>
      </w:r>
    </w:p>
    <w:p>
      <w:pPr>
        <w:pStyle w:val="ListNumber"/>
        <w:spacing w:after="80"/>
      </w:pPr>
      <w:r>
        <w:rPr>
          <w:sz w:val="21"/>
        </w:rPr>
        <w:t>Enter the Fee Amount (₱) — e.g. 8 for PHP 8 per transaction</w:t>
      </w:r>
    </w:p>
    <w:p>
      <w:pPr>
        <w:spacing w:before="80" w:after="160"/>
        <w:ind w:left="283"/>
      </w:pPr>
      <w:r>
        <w:rPr>
          <w:b/>
          <w:color w:val="003399"/>
          <w:sz w:val="21"/>
        </w:rPr>
        <w:t xml:space="preserve">Example: </w:t>
      </w:r>
      <w:r>
        <w:rPr>
          <w:sz w:val="21"/>
        </w:rPr>
        <w:t>MaxJoy charges PHP 10 per QRPh transaction.</w:t>
        <w:br/>
        <w:t>QRPh Fee → Flat → Fee Amount: 10</w:t>
      </w:r>
    </w:p>
    <w:p>
      <w:pPr>
        <w:spacing w:before="280" w:after="80"/>
      </w:pPr>
      <w:r>
        <w:rPr>
          <w:b/>
          <w:caps/>
          <w:color w:val="64748B"/>
          <w:sz w:val="22"/>
        </w:rPr>
        <w:t>What it looks like in billing</w:t>
      </w:r>
    </w:p>
    <w:p>
      <w:pPr>
        <w:spacing w:before="80" w:after="200"/>
        <w:ind w:left="283"/>
        <w:shd w:val="clear" w:color="auto" w:fill="F8FAFC"/>
      </w:pPr>
      <w:r>
        <w:rPr>
          <w:rFonts w:ascii="Courier New" w:hAnsi="Courier New"/>
          <w:color w:val="1E293B"/>
          <w:sz w:val="19"/>
        </w:rPr>
        <w:t>100 transactions × PHP 10.00 = PHP 1,000.00 total fee</w:t>
      </w:r>
    </w:p>
    <w:p>
      <w:pPr>
        <w:spacing w:before="400" w:after="120"/>
        <w:pBdr>
          <w:bottom w:val="single" w:sz="12" w:space="4" w:color="FFCC00"/>
        </w:pBdr>
      </w:pPr>
      <w:r>
        <w:rPr>
          <w:b/>
          <w:color w:val="003399"/>
          <w:sz w:val="32"/>
        </w:rPr>
        <w:t>Fee Type 3: % + Floor</w:t>
      </w:r>
    </w:p>
    <w:p>
      <w:pPr>
        <w:spacing w:after="120"/>
      </w:pPr>
      <w:r>
        <w:rPr>
          <w:sz w:val="21"/>
        </w:rPr>
        <w:t>Charges a percentage of the transaction amount, but never less than a minimum floor.</w:t>
      </w:r>
    </w:p>
    <w:p>
      <w:pPr>
        <w:spacing w:before="80" w:after="160"/>
        <w:ind w:left="283"/>
        <w:shd w:val="clear" w:color="auto" w:fill="1E293B"/>
      </w:pPr>
      <w:r>
        <w:rPr>
          <w:rFonts w:ascii="Courier New" w:hAnsi="Courier New"/>
          <w:b/>
          <w:color w:val="E2E8F0"/>
          <w:sz w:val="20"/>
        </w:rPr>
        <w:t>fee = max(amount × rate%, floor)</w:t>
      </w:r>
    </w:p>
    <w:p>
      <w:pPr>
        <w:spacing w:before="280" w:after="80"/>
      </w:pPr>
      <w:r>
        <w:rPr>
          <w:b/>
          <w:caps/>
          <w:color w:val="64748B"/>
          <w:sz w:val="22"/>
        </w:rPr>
        <w:t>When to use</w:t>
      </w:r>
    </w:p>
    <w:p>
      <w:pPr>
        <w:pStyle w:val="ListBullet"/>
        <w:spacing w:after="60"/>
      </w:pPr>
      <w:r>
        <w:rPr>
          <w:sz w:val="21"/>
        </w:rPr>
        <w:t>Fee is percentage-based</w:t>
      </w:r>
    </w:p>
    <w:p>
      <w:pPr>
        <w:pStyle w:val="ListBullet"/>
        <w:spacing w:after="60"/>
      </w:pPr>
      <w:r>
        <w:rPr>
          <w:sz w:val="21"/>
        </w:rPr>
        <w:t>Small transactions need a minimum charge (so the fee isn't too small to be worth billing)</w:t>
      </w:r>
    </w:p>
    <w:p>
      <w:pPr>
        <w:spacing w:before="280" w:after="80"/>
      </w:pPr>
      <w:r>
        <w:rPr>
          <w:b/>
          <w:caps/>
          <w:color w:val="64748B"/>
          <w:sz w:val="22"/>
        </w:rPr>
        <w:t>How to configure</w:t>
      </w:r>
    </w:p>
    <w:p>
      <w:pPr>
        <w:pStyle w:val="ListNumber"/>
        <w:spacing w:after="80"/>
      </w:pPr>
      <w:r>
        <w:rPr>
          <w:sz w:val="21"/>
        </w:rPr>
        <w:t>Select % + Floor — max(amt × rate, floor)</w:t>
      </w:r>
    </w:p>
    <w:p>
      <w:pPr>
        <w:pStyle w:val="ListNumber"/>
        <w:spacing w:after="80"/>
      </w:pPr>
      <w:r>
        <w:rPr>
          <w:sz w:val="21"/>
        </w:rPr>
        <w:t>Enter Rate (%) — e.g. 0.7 for 0.7%</w:t>
      </w:r>
    </w:p>
    <w:p>
      <w:pPr>
        <w:pStyle w:val="ListNumber"/>
        <w:spacing w:after="80"/>
      </w:pPr>
      <w:r>
        <w:rPr>
          <w:sz w:val="21"/>
        </w:rPr>
        <w:t>Enter Floor (₱) — the minimum fee per transaction, e.g. 1</w:t>
      </w:r>
    </w:p>
    <w:p>
      <w:pPr>
        <w:spacing w:before="80" w:after="160"/>
        <w:ind w:left="283"/>
        <w:shd w:val="clear" w:color="auto" w:fill="EFF6FF"/>
      </w:pPr>
      <w:r>
        <w:rPr>
          <w:color w:val="1D4ED8"/>
          <w:sz w:val="20"/>
        </w:rPr>
        <w:t>💡  Enter the rate as a percentage number. For 0.7%, type 0.7 — not 0.007. The portal converts it automatically.</w:t>
      </w:r>
    </w:p>
    <w:p>
      <w:pPr>
        <w:spacing w:before="80" w:after="160"/>
        <w:ind w:left="283"/>
      </w:pPr>
      <w:r>
        <w:rPr>
          <w:b/>
          <w:color w:val="003399"/>
          <w:sz w:val="21"/>
        </w:rPr>
        <w:t xml:space="preserve">Example: </w:t>
      </w:r>
      <w:r>
        <w:rPr>
          <w:sz w:val="21"/>
        </w:rPr>
        <w:t>Magic Payment charges 0.7% for QRPh, minimum PHP 1.</w:t>
        <w:br/>
        <w:t>QRPh Fee → % + Floor → Rate: 0.7 → Floor: 1</w:t>
      </w:r>
    </w:p>
    <w:p>
      <w:pPr>
        <w:spacing w:before="280" w:after="80"/>
      </w:pPr>
      <w:r>
        <w:rPr>
          <w:b/>
          <w:caps/>
          <w:color w:val="64748B"/>
          <w:sz w:val="22"/>
        </w:rPr>
        <w:t>What it looks like in billing</w:t>
      </w:r>
    </w:p>
    <w:p>
      <w:pPr>
        <w:spacing w:before="80" w:after="200"/>
        <w:ind w:left="283"/>
        <w:shd w:val="clear" w:color="auto" w:fill="F8FAFC"/>
      </w:pPr>
      <w:r>
        <w:rPr>
          <w:rFonts w:ascii="Courier New" w:hAnsi="Courier New"/>
          <w:color w:val="1E293B"/>
          <w:sz w:val="19"/>
        </w:rPr>
        <w:t>PHP 50 transaction:    max(50 × 0.7%, 1.00) = max(0.35, 1.00) = PHP 1.00  ← floor applied</w:t>
        <w:br/>
        <w:t>PHP 500 transaction:   max(500 × 0.7%, 1.00) = max(3.50, 1.00) = PHP 3.50</w:t>
        <w:br/>
        <w:t>PHP 2,000 transaction: max(2000 × 0.7%, 1.00) = max(14.00, 1.00) = PHP 14.00</w:t>
      </w:r>
    </w:p>
    <w:p>
      <w:pPr>
        <w:spacing w:before="400" w:after="120"/>
        <w:pBdr>
          <w:bottom w:val="single" w:sz="12" w:space="4" w:color="FFCC00"/>
        </w:pBdr>
      </w:pPr>
      <w:r>
        <w:rPr>
          <w:b/>
          <w:color w:val="003399"/>
          <w:sz w:val="32"/>
        </w:rPr>
        <w:t>Fee Type 4: % + Floor + Cap</w:t>
      </w:r>
    </w:p>
    <w:p>
      <w:pPr>
        <w:spacing w:after="120"/>
      </w:pPr>
      <w:r>
        <w:rPr>
          <w:sz w:val="21"/>
        </w:rPr>
        <w:t>Same as % + Floor, but also adds a maximum cap — the fee can never exceed a certain amount.</w:t>
      </w:r>
    </w:p>
    <w:p>
      <w:pPr>
        <w:spacing w:before="80" w:after="160"/>
        <w:ind w:left="283"/>
        <w:shd w:val="clear" w:color="auto" w:fill="1E293B"/>
      </w:pPr>
      <w:r>
        <w:rPr>
          <w:rFonts w:ascii="Courier New" w:hAnsi="Courier New"/>
          <w:b/>
          <w:color w:val="E2E8F0"/>
          <w:sz w:val="20"/>
        </w:rPr>
        <w:t>fee = min( max(amount × rate%, floor), cap )</w:t>
      </w:r>
    </w:p>
    <w:p>
      <w:pPr>
        <w:spacing w:before="280" w:after="80"/>
      </w:pPr>
      <w:r>
        <w:rPr>
          <w:b/>
          <w:caps/>
          <w:color w:val="64748B"/>
          <w:sz w:val="22"/>
        </w:rPr>
        <w:t>When to use</w:t>
      </w:r>
    </w:p>
    <w:p>
      <w:pPr>
        <w:pStyle w:val="ListBullet"/>
        <w:spacing w:after="60"/>
      </w:pPr>
      <w:r>
        <w:rPr>
          <w:sz w:val="21"/>
        </w:rPr>
        <w:t>Partner fee has a ceiling for large transactions</w:t>
      </w:r>
    </w:p>
    <w:p>
      <w:pPr>
        <w:pStyle w:val="ListBullet"/>
        <w:spacing w:after="60"/>
      </w:pPr>
      <w:r>
        <w:rPr>
          <w:sz w:val="21"/>
        </w:rPr>
        <w:t>Protects partners from very high fees on large transfers</w:t>
      </w:r>
    </w:p>
    <w:p>
      <w:pPr>
        <w:spacing w:before="280" w:after="80"/>
      </w:pPr>
      <w:r>
        <w:rPr>
          <w:b/>
          <w:caps/>
          <w:color w:val="64748B"/>
          <w:sz w:val="22"/>
        </w:rPr>
        <w:t>How to configure</w:t>
      </w:r>
    </w:p>
    <w:p>
      <w:pPr>
        <w:pStyle w:val="ListNumber"/>
        <w:spacing w:after="80"/>
      </w:pPr>
      <w:r>
        <w:rPr>
          <w:sz w:val="21"/>
        </w:rPr>
        <w:t>Select % + Floor + Cap</w:t>
      </w:r>
    </w:p>
    <w:p>
      <w:pPr>
        <w:pStyle w:val="ListNumber"/>
        <w:spacing w:after="80"/>
      </w:pPr>
      <w:r>
        <w:rPr>
          <w:sz w:val="21"/>
        </w:rPr>
        <w:t>Enter Rate (%), Floor (₱), and Cap (₱)</w:t>
      </w:r>
    </w:p>
    <w:p>
      <w:pPr>
        <w:spacing w:before="80" w:after="160"/>
        <w:ind w:left="283"/>
      </w:pPr>
      <w:r>
        <w:rPr>
          <w:b/>
          <w:color w:val="003399"/>
          <w:sz w:val="21"/>
        </w:rPr>
        <w:t xml:space="preserve">Example: </w:t>
      </w:r>
      <w:r>
        <w:rPr>
          <w:sz w:val="21"/>
        </w:rPr>
        <w:t>HoPay charges 0.5% for QRPh, minimum PHP 1, maximum PHP 5.</w:t>
        <w:br/>
        <w:t>QRPh Fee → % + Floor + Cap → Rate: 0.5 → Floor: 1 → Cap: 5</w:t>
      </w:r>
    </w:p>
    <w:p>
      <w:pPr>
        <w:spacing w:before="280" w:after="80"/>
      </w:pPr>
      <w:r>
        <w:rPr>
          <w:b/>
          <w:caps/>
          <w:color w:val="64748B"/>
          <w:sz w:val="22"/>
        </w:rPr>
        <w:t>What it looks like in billing</w:t>
      </w:r>
    </w:p>
    <w:p>
      <w:pPr>
        <w:spacing w:before="80" w:after="200"/>
        <w:ind w:left="283"/>
        <w:shd w:val="clear" w:color="auto" w:fill="F8FAFC"/>
      </w:pPr>
      <w:r>
        <w:rPr>
          <w:rFonts w:ascii="Courier New" w:hAnsi="Courier New"/>
          <w:color w:val="1E293B"/>
          <w:sz w:val="19"/>
        </w:rPr>
        <w:t>PHP 100:    min(max(0.50, 1), 5) = PHP 1.00  ← floor applied</w:t>
        <w:br/>
        <w:t>PHP 500:    min(max(2.50, 1), 5) = PHP 2.50</w:t>
        <w:br/>
        <w:t>PHP 2,000:  min(max(10.00, 1), 5) = PHP 5.00  ← cap applied</w:t>
      </w:r>
    </w:p>
    <w:p>
      <w:r>
        <w:br w:type="page"/>
      </w:r>
    </w:p>
    <w:p>
      <w:pPr>
        <w:spacing w:before="400" w:after="120"/>
        <w:pBdr>
          <w:bottom w:val="single" w:sz="12" w:space="4" w:color="FFCC00"/>
        </w:pBdr>
      </w:pPr>
      <w:r>
        <w:rPr>
          <w:b/>
          <w:color w:val="003399"/>
          <w:sz w:val="32"/>
        </w:rPr>
        <w:t>Fee Type 5: Tiered by Amount</w:t>
      </w:r>
    </w:p>
    <w:p>
      <w:pPr>
        <w:spacing w:after="120"/>
      </w:pPr>
      <w:r>
        <w:rPr>
          <w:sz w:val="21"/>
        </w:rPr>
        <w:t>Charges a flat fee that depends on the transaction amount. Larger transactions get a different fee than smaller ones.</w:t>
      </w:r>
    </w:p>
    <w:p>
      <w:pPr>
        <w:spacing w:before="280" w:after="80"/>
      </w:pPr>
      <w:r>
        <w:rPr>
          <w:b/>
          <w:caps/>
          <w:color w:val="64748B"/>
          <w:sz w:val="22"/>
        </w:rPr>
        <w:t>When to use</w:t>
      </w:r>
    </w:p>
    <w:p>
      <w:pPr>
        <w:pStyle w:val="ListBullet"/>
        <w:spacing w:after="60"/>
      </w:pPr>
      <w:r>
        <w:rPr>
          <w:sz w:val="21"/>
        </w:rPr>
        <w:t>Partner fee schedule has a table of amount ranges, each with a different flat fee</w:t>
      </w:r>
    </w:p>
    <w:p>
      <w:pPr>
        <w:pStyle w:val="ListBullet"/>
        <w:spacing w:after="60"/>
      </w:pPr>
      <w:r>
        <w:rPr>
          <w:sz w:val="21"/>
        </w:rPr>
        <w:t>Example: "PHP 5 for amounts up to PHP 500; PHP 8 for amounts above PHP 500"</w:t>
      </w:r>
    </w:p>
    <w:p>
      <w:pPr>
        <w:spacing w:before="280" w:after="80"/>
      </w:pPr>
      <w:r>
        <w:rPr>
          <w:b/>
          <w:caps/>
          <w:color w:val="64748B"/>
          <w:sz w:val="22"/>
        </w:rPr>
        <w:t>How to configure</w:t>
      </w:r>
    </w:p>
    <w:p>
      <w:pPr>
        <w:pStyle w:val="ListNumber"/>
        <w:spacing w:after="80"/>
      </w:pPr>
      <w:r>
        <w:rPr>
          <w:sz w:val="21"/>
        </w:rPr>
        <w:t>Select Tiered by Amount — flat fee per amount range</w:t>
      </w:r>
    </w:p>
    <w:p>
      <w:pPr>
        <w:pStyle w:val="ListNumber"/>
        <w:spacing w:after="80"/>
      </w:pPr>
      <w:r>
        <w:rPr>
          <w:sz w:val="21"/>
        </w:rPr>
        <w:t>Click + Add Tier for each row in the partner's fee schedule</w:t>
      </w:r>
    </w:p>
    <w:p>
      <w:pPr>
        <w:pStyle w:val="ListNumber"/>
        <w:spacing w:after="80"/>
      </w:pPr>
      <w:r>
        <w:rPr>
          <w:sz w:val="21"/>
        </w:rPr>
        <w:t>For each tier: enter Up to amount ₱ (leave blank for the last/default tier) and Fee (₱)</w:t>
      </w:r>
    </w:p>
    <w:p>
      <w:pPr>
        <w:spacing w:before="80" w:after="160"/>
        <w:ind w:left="283"/>
        <w:shd w:val="clear" w:color="auto" w:fill="EFF6FF"/>
      </w:pPr>
      <w:r>
        <w:rPr>
          <w:color w:val="1D4ED8"/>
          <w:sz w:val="20"/>
        </w:rPr>
        <w:t>💡  Always leave the last tier's amount blank — it becomes the default for everything above the highest threshold.</w:t>
      </w:r>
    </w:p>
    <w:p>
      <w:pPr>
        <w:spacing w:before="80" w:after="160"/>
        <w:ind w:left="283"/>
      </w:pPr>
      <w:r>
        <w:rPr>
          <w:b/>
          <w:color w:val="003399"/>
          <w:sz w:val="21"/>
        </w:rPr>
        <w:t xml:space="preserve">Example: </w:t>
      </w:r>
      <w:r>
        <w:rPr>
          <w:sz w:val="21"/>
        </w:rPr>
        <w:t>A partner charges PHP 5 for transactions up to PHP 300, PHP 10 for anything above.</w:t>
        <w:br/>
        <w:br/>
        <w:t>Tier 1: Amount ≤ 300 → Fee: 5</w:t>
        <w:br/>
        <w:t>Tier 2: Amount ≤ (blank — default) → Fee: 10</w:t>
      </w:r>
    </w:p>
    <w:p>
      <w:pPr>
        <w:spacing w:before="280" w:after="80"/>
      </w:pPr>
      <w:r>
        <w:rPr>
          <w:b/>
          <w:caps/>
          <w:color w:val="64748B"/>
          <w:sz w:val="22"/>
        </w:rPr>
        <w:t>What it looks like in billing</w:t>
      </w:r>
    </w:p>
    <w:p>
      <w:pPr>
        <w:spacing w:before="80" w:after="200"/>
        <w:ind w:left="283"/>
        <w:shd w:val="clear" w:color="auto" w:fill="F8FAFC"/>
      </w:pPr>
      <w:r>
        <w:rPr>
          <w:rFonts w:ascii="Courier New" w:hAnsi="Courier New"/>
          <w:color w:val="1E293B"/>
          <w:sz w:val="19"/>
        </w:rPr>
        <w:t>PHP 150 transaction → Tier 1 (≤300) → PHP 5.00 fee</w:t>
        <w:br/>
        <w:t>PHP 500 transaction → Tier 2 (default) → PHP 10.00 fee</w:t>
      </w:r>
    </w:p>
    <w:p>
      <w:pPr>
        <w:spacing w:before="400" w:after="120"/>
        <w:pBdr>
          <w:bottom w:val="single" w:sz="12" w:space="4" w:color="FFCC00"/>
        </w:pBdr>
      </w:pPr>
      <w:r>
        <w:rPr>
          <w:b/>
          <w:color w:val="003399"/>
          <w:sz w:val="32"/>
        </w:rPr>
        <w:t>Fee Type 6: Tiered by Amount + Run Count (AIO-style)</w:t>
      </w:r>
    </w:p>
    <w:p>
      <w:pPr>
        <w:spacing w:after="120"/>
      </w:pPr>
      <w:r>
        <w:rPr>
          <w:sz w:val="21"/>
        </w:rPr>
        <w:t>The fee depends on both the transaction amount AND the total number of transactions in the billing run. Volume discount kicks in when the monthly count crosses a threshold.</w:t>
      </w:r>
    </w:p>
    <w:p>
      <w:pPr>
        <w:spacing w:after="120"/>
      </w:pPr>
      <w:r>
        <w:rPr>
          <w:i/>
          <w:color w:val="64748B"/>
          <w:sz w:val="21"/>
        </w:rPr>
        <w:t>Currently used by: AIO Solutions</w:t>
      </w:r>
    </w:p>
    <w:p>
      <w:pPr>
        <w:spacing w:before="280" w:after="80"/>
      </w:pPr>
      <w:r>
        <w:rPr>
          <w:b/>
          <w:caps/>
          <w:color w:val="64748B"/>
          <w:sz w:val="22"/>
        </w:rPr>
        <w:t>How to configure</w:t>
      </w:r>
    </w:p>
    <w:p>
      <w:pPr>
        <w:pStyle w:val="ListNumber"/>
        <w:spacing w:after="80"/>
      </w:pPr>
      <w:r>
        <w:rPr>
          <w:sz w:val="21"/>
        </w:rPr>
        <w:t>Select Tiered by Amount + Run Count (AIO-style)</w:t>
      </w:r>
    </w:p>
    <w:p>
      <w:pPr>
        <w:pStyle w:val="ListNumber"/>
        <w:spacing w:after="80"/>
      </w:pPr>
      <w:r>
        <w:rPr>
          <w:sz w:val="21"/>
        </w:rPr>
        <w:t>Fill in the following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535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1134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Amount Threshold (₱)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Transactions AT OR BELOW this use the Low Fee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600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Low Fee (₱)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Fee for transactions ≤ Amount Threshold</w:t>
            </w:r>
          </w:p>
        </w:tc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Count Threshold (txns)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Monthly count where volume discount kicks in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30000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High Fee at Count (₱)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sz w:val="20"/>
              </w:rPr>
              <w:t>Fee for txns &gt; Amount Threshold AND monthly count ≥ Count Threshold</w:t>
            </w:r>
          </w:p>
        </w:tc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High Fee — Default (₱)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Fee for txns &gt; Amount Threshold when count has NOT yet reached threshold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10</w:t>
            </w:r>
          </w:p>
        </w:tc>
      </w:tr>
    </w:tbl>
    <w:p/>
    <w:p>
      <w:pPr>
        <w:spacing w:before="280" w:after="80"/>
      </w:pPr>
      <w:r>
        <w:rPr>
          <w:b/>
          <w:caps/>
          <w:color w:val="64748B"/>
          <w:sz w:val="22"/>
        </w:rPr>
        <w:t>What it looks like in billing</w:t>
      </w:r>
    </w:p>
    <w:p>
      <w:pPr>
        <w:spacing w:before="80" w:after="200"/>
        <w:ind w:left="283"/>
        <w:shd w:val="clear" w:color="auto" w:fill="F8FAFC"/>
      </w:pPr>
      <w:r>
        <w:rPr>
          <w:rFonts w:ascii="Courier New" w:hAnsi="Courier New"/>
          <w:color w:val="1E293B"/>
          <w:sz w:val="19"/>
        </w:rPr>
        <w:t>PHP 400 (any count):        → PHP 6.00   ← below amount threshold</w:t>
        <w:br/>
        <w:t>PHP 1,500, count = 15,000:  → PHP 10.00  ← above amt, below count threshold</w:t>
        <w:br/>
        <w:t>PHP 1,500, count = 35,000:  → PHP 8.00   ← above amt, volume discount!</w:t>
      </w:r>
    </w:p>
    <w:p>
      <w:r>
        <w:br w:type="page"/>
      </w:r>
    </w:p>
    <w:p>
      <w:pPr>
        <w:spacing w:before="400" w:after="120"/>
        <w:pBdr>
          <w:bottom w:val="single" w:sz="12" w:space="4" w:color="FFCC00"/>
        </w:pBdr>
      </w:pPr>
      <w:r>
        <w:rPr>
          <w:b/>
          <w:color w:val="003399"/>
          <w:sz w:val="32"/>
        </w:rPr>
        <w:t>Fee Type 7: Tiered Percentage (Incoming only)</w:t>
      </w:r>
    </w:p>
    <w:p>
      <w:pPr>
        <w:spacing w:after="120"/>
      </w:pPr>
      <w:r>
        <w:rPr>
          <w:sz w:val="21"/>
        </w:rPr>
        <w:t>The percentage rate changes depending on the transaction amount — smaller transactions have a higher rate, larger ones a lower rate. Optional minimum floor per tier.</w:t>
      </w:r>
    </w:p>
    <w:p>
      <w:pPr>
        <w:spacing w:before="80" w:after="160"/>
        <w:ind w:left="283"/>
        <w:shd w:val="clear" w:color="auto" w:fill="FFF7ED"/>
      </w:pPr>
      <w:r>
        <w:rPr>
          <w:color w:val="C2410C"/>
          <w:sz w:val="20"/>
        </w:rPr>
        <w:t>⚠️  This fee type is available on QRPh and VCA only — NOT on Disburse.</w:t>
      </w:r>
    </w:p>
    <w:p>
      <w:pPr>
        <w:spacing w:before="280" w:after="80"/>
      </w:pPr>
      <w:r>
        <w:rPr>
          <w:b/>
          <w:caps/>
          <w:color w:val="64748B"/>
          <w:sz w:val="22"/>
        </w:rPr>
        <w:t>When to use</w:t>
      </w:r>
    </w:p>
    <w:p>
      <w:pPr>
        <w:pStyle w:val="ListBullet"/>
        <w:spacing w:after="60"/>
      </w:pPr>
      <w:r>
        <w:rPr>
          <w:sz w:val="21"/>
        </w:rPr>
        <w:t>Partner fee schedule has different percentage rates for different amount ranges</w:t>
      </w:r>
    </w:p>
    <w:p>
      <w:pPr>
        <w:pStyle w:val="ListBullet"/>
        <w:spacing w:after="60"/>
      </w:pPr>
      <w:r>
        <w:rPr>
          <w:sz w:val="21"/>
        </w:rPr>
        <w:t>Replaces the need for multiple separate % + Floor rules</w:t>
      </w:r>
    </w:p>
    <w:p>
      <w:pPr>
        <w:spacing w:before="280" w:after="80"/>
      </w:pPr>
      <w:r>
        <w:rPr>
          <w:b/>
          <w:caps/>
          <w:color w:val="64748B"/>
          <w:sz w:val="22"/>
        </w:rPr>
        <w:t>How to configure</w:t>
      </w:r>
    </w:p>
    <w:p>
      <w:pPr>
        <w:pStyle w:val="ListNumber"/>
        <w:spacing w:after="80"/>
      </w:pPr>
      <w:r>
        <w:rPr>
          <w:sz w:val="21"/>
        </w:rPr>
        <w:t>Select Tiered Percentage — different % per amount range</w:t>
      </w:r>
    </w:p>
    <w:p>
      <w:pPr>
        <w:pStyle w:val="ListNumber"/>
        <w:spacing w:after="80"/>
      </w:pPr>
      <w:r>
        <w:rPr>
          <w:sz w:val="21"/>
        </w:rPr>
        <w:t>Click + Add Tier for each rate in the schedule</w:t>
      </w:r>
    </w:p>
    <w:p>
      <w:pPr>
        <w:pStyle w:val="ListNumber"/>
        <w:spacing w:after="80"/>
      </w:pPr>
      <w:r>
        <w:rPr>
          <w:sz w:val="21"/>
        </w:rPr>
        <w:t>For each tier: Up to amount ₱ (blank for last), Rate (%), and optional Min Floor ₱</w:t>
      </w:r>
    </w:p>
    <w:p>
      <w:pPr>
        <w:spacing w:before="80" w:after="160"/>
        <w:ind w:left="283"/>
      </w:pPr>
      <w:r>
        <w:rPr>
          <w:b/>
          <w:color w:val="003399"/>
          <w:sz w:val="21"/>
        </w:rPr>
        <w:t xml:space="preserve">Example: </w:t>
      </w:r>
      <w:r>
        <w:rPr>
          <w:sz w:val="21"/>
        </w:rPr>
        <w:t>≤ PHP 120: 0.90% or PHP 1 whichever is higher</w:t>
        <w:br/>
        <w:t>PHP 121–250: 0.75%</w:t>
        <w:br/>
        <w:t>PHP 251–500: 0.60%</w:t>
        <w:br/>
        <w:t>Above PHP 500: 0.50%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268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Amount ≤</w:t>
            </w:r>
          </w:p>
        </w:tc>
        <w:tc>
          <w:tcPr>
            <w:tcW w:type="dxa" w:w="1701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Rate %</w:t>
            </w:r>
          </w:p>
        </w:tc>
        <w:tc>
          <w:tcPr>
            <w:tcW w:type="dxa" w:w="1701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Floor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0.9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0.75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0.60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(blank — default)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0.50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spacing w:before="280" w:after="80"/>
      </w:pPr>
      <w:r>
        <w:rPr>
          <w:b/>
          <w:caps/>
          <w:color w:val="64748B"/>
          <w:sz w:val="22"/>
        </w:rPr>
        <w:t>What it looks like in billing</w:t>
      </w:r>
    </w:p>
    <w:p>
      <w:pPr>
        <w:spacing w:before="80" w:after="200"/>
        <w:ind w:left="283"/>
        <w:shd w:val="clear" w:color="auto" w:fill="F8FAFC"/>
      </w:pPr>
      <w:r>
        <w:rPr>
          <w:rFonts w:ascii="Courier New" w:hAnsi="Courier New"/>
          <w:color w:val="1E293B"/>
          <w:sz w:val="19"/>
        </w:rPr>
        <w:t>PHP 100:   max(100 × 0.9%, 1.00) = PHP 1.00</w:t>
        <w:br/>
        <w:t>PHP 200:   200 × 0.75%           = PHP 1.50</w:t>
        <w:br/>
        <w:t>PHP 400:   400 × 0.60%           = PHP 2.40</w:t>
        <w:br/>
        <w:t>PHP 800:   800 × 0.50%           = PHP 4.00</w:t>
      </w:r>
    </w:p>
    <w:p>
      <w:pPr>
        <w:spacing w:before="400" w:after="120"/>
        <w:pBdr>
          <w:bottom w:val="single" w:sz="12" w:space="4" w:color="FFCC00"/>
        </w:pBdr>
      </w:pPr>
      <w:r>
        <w:rPr>
          <w:b/>
          <w:color w:val="003399"/>
          <w:sz w:val="32"/>
        </w:rPr>
        <w:t>Fee Type 8: Tiered by Count (Disburse only)</w:t>
      </w:r>
    </w:p>
    <w:p>
      <w:pPr>
        <w:spacing w:after="120"/>
      </w:pPr>
      <w:r>
        <w:rPr>
          <w:sz w:val="21"/>
        </w:rPr>
        <w:t>All transactions in a billing run are charged at the same flat rate, determined by the total number of transactions in the run. Higher volume = lower rate for ALL transactions.</w:t>
      </w:r>
    </w:p>
    <w:p>
      <w:pPr>
        <w:spacing w:before="80" w:after="160"/>
        <w:ind w:left="283"/>
        <w:shd w:val="clear" w:color="auto" w:fill="FFF7ED"/>
      </w:pPr>
      <w:r>
        <w:rPr>
          <w:color w:val="C2410C"/>
          <w:sz w:val="20"/>
        </w:rPr>
        <w:t>⚠️  This fee type is available on Disburse only — NOT on QRPh or VCA.</w:t>
      </w:r>
    </w:p>
    <w:p>
      <w:pPr>
        <w:spacing w:before="280" w:after="80"/>
      </w:pPr>
      <w:r>
        <w:rPr>
          <w:b/>
          <w:caps/>
          <w:color w:val="64748B"/>
          <w:sz w:val="22"/>
        </w:rPr>
        <w:t>When to use</w:t>
      </w:r>
    </w:p>
    <w:p>
      <w:pPr>
        <w:pStyle w:val="ListBullet"/>
        <w:spacing w:after="60"/>
      </w:pPr>
      <w:r>
        <w:rPr>
          <w:sz w:val="21"/>
        </w:rPr>
        <w:t>Partner disburse fee is a volume discount: process more, pay less per transaction</w:t>
      </w:r>
    </w:p>
    <w:p>
      <w:pPr>
        <w:pStyle w:val="ListBullet"/>
        <w:spacing w:after="60"/>
      </w:pPr>
      <w:r>
        <w:rPr>
          <w:sz w:val="21"/>
        </w:rPr>
        <w:t>The rate applies equally to ALL transactions in the run</w:t>
      </w:r>
    </w:p>
    <w:p>
      <w:pPr>
        <w:spacing w:before="280" w:after="80"/>
      </w:pPr>
      <w:r>
        <w:rPr>
          <w:b/>
          <w:caps/>
          <w:color w:val="64748B"/>
          <w:sz w:val="22"/>
        </w:rPr>
        <w:t>How to configure</w:t>
      </w:r>
    </w:p>
    <w:p>
      <w:pPr>
        <w:pStyle w:val="ListNumber"/>
        <w:spacing w:after="80"/>
      </w:pPr>
      <w:r>
        <w:rPr>
          <w:sz w:val="21"/>
        </w:rPr>
        <w:t>Select Tiered by Count — all txns same rate based on run volume</w:t>
      </w:r>
    </w:p>
    <w:p>
      <w:pPr>
        <w:pStyle w:val="ListNumber"/>
        <w:spacing w:after="80"/>
      </w:pPr>
      <w:r>
        <w:rPr>
          <w:sz w:val="21"/>
        </w:rPr>
        <w:t>Click + Add Tier for each count threshold</w:t>
      </w:r>
    </w:p>
    <w:p>
      <w:pPr>
        <w:pStyle w:val="ListNumber"/>
        <w:spacing w:after="80"/>
      </w:pPr>
      <w:r>
        <w:rPr>
          <w:sz w:val="21"/>
        </w:rPr>
        <w:t>For each tier: Up to count (blank for last) and Fee per txn (₱)</w:t>
      </w:r>
    </w:p>
    <w:p>
      <w:pPr>
        <w:spacing w:before="80" w:after="160"/>
        <w:ind w:left="283"/>
      </w:pPr>
      <w:r>
        <w:rPr>
          <w:b/>
          <w:color w:val="003399"/>
          <w:sz w:val="21"/>
        </w:rPr>
        <w:t xml:space="preserve">Example: </w:t>
      </w:r>
      <w:r>
        <w:rPr>
          <w:sz w:val="21"/>
        </w:rPr>
        <w:t>&lt; 30,000 txns:       PHP 9.50 per txn</w:t>
        <w:br/>
        <w:t>30,000–99,999:       PHP 9.00 per txn</w:t>
        <w:br/>
        <w:t>100,000–299,999:     PHP 8.00 per txn</w:t>
        <w:br/>
        <w:t>300,000–499,999:     PHP 7.00 per txn</w:t>
        <w:br/>
        <w:t>500,000 and above:   PHP 5.00 per txn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835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Count ≤</w:t>
            </w:r>
          </w:p>
        </w:tc>
        <w:tc>
          <w:tcPr>
            <w:tcW w:type="dxa" w:w="1701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Fee/txn (₱)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29,999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9.50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99,999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9.00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299,999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8.00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499,999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7.00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(blank — default)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5.00</w:t>
            </w:r>
          </w:p>
        </w:tc>
      </w:tr>
    </w:tbl>
    <w:p/>
    <w:p>
      <w:pPr>
        <w:spacing w:before="280" w:after="80"/>
      </w:pPr>
      <w:r>
        <w:rPr>
          <w:b/>
          <w:caps/>
          <w:color w:val="64748B"/>
          <w:sz w:val="22"/>
        </w:rPr>
        <w:t>What it looks like in billing</w:t>
      </w:r>
    </w:p>
    <w:p>
      <w:pPr>
        <w:spacing w:before="80" w:after="200"/>
        <w:ind w:left="283"/>
        <w:shd w:val="clear" w:color="auto" w:fill="F8FAFC"/>
      </w:pPr>
      <w:r>
        <w:rPr>
          <w:rFonts w:ascii="Courier New" w:hAnsi="Courier New"/>
          <w:color w:val="1E293B"/>
          <w:sz w:val="19"/>
        </w:rPr>
        <w:t>Monthly run = 487 transactions:</w:t>
        <w:br/>
        <w:t xml:space="preserve">  → Rate = PHP 9.50 (count &lt; 30,000)</w:t>
        <w:br/>
        <w:t xml:space="preserve">  → Total = 487 × PHP 9.50 = PHP 4,626.50</w:t>
        <w:br/>
        <w:br/>
        <w:t>Monthly run = 55,000 transactions:</w:t>
        <w:br/>
        <w:t xml:space="preserve">  → Rate = PHP 9.00 (count 30,000–99,999)</w:t>
        <w:br/>
        <w:t xml:space="preserve">  → Total = 55,000 × PHP 9.00 = PHP 495,000.00</w:t>
      </w:r>
    </w:p>
    <w:p>
      <w:r>
        <w:br w:type="page"/>
      </w:r>
    </w:p>
    <w:p>
      <w:pPr>
        <w:spacing w:before="400" w:after="120"/>
        <w:pBdr>
          <w:bottom w:val="single" w:sz="12" w:space="4" w:color="FFCC00"/>
        </w:pBdr>
      </w:pPr>
      <w:r>
        <w:rPr>
          <w:b/>
          <w:color w:val="003399"/>
          <w:sz w:val="32"/>
        </w:rPr>
        <w:t>Fee Type 9: Fee Rules</w:t>
      </w:r>
    </w:p>
    <w:p>
      <w:pPr>
        <w:spacing w:after="120"/>
      </w:pPr>
      <w:r>
        <w:rPr>
          <w:sz w:val="21"/>
        </w:rPr>
        <w:t>Lets you define multiple conditions with different fee types per condition. The billing engine checks each rule from top to bottom and uses the first rule that matches.</w:t>
      </w:r>
    </w:p>
    <w:p>
      <w:pPr>
        <w:spacing w:before="280" w:after="80"/>
      </w:pPr>
      <w:r>
        <w:rPr>
          <w:b/>
          <w:caps/>
          <w:color w:val="64748B"/>
          <w:sz w:val="22"/>
        </w:rPr>
        <w:t>When to use</w:t>
      </w:r>
    </w:p>
    <w:p>
      <w:pPr>
        <w:pStyle w:val="ListBullet"/>
        <w:spacing w:after="60"/>
      </w:pPr>
      <w:r>
        <w:rPr>
          <w:sz w:val="21"/>
        </w:rPr>
        <w:t>Partner has conditions that require different fee types (e.g. one rule is flat, another is percentage)</w:t>
      </w:r>
    </w:p>
    <w:p>
      <w:pPr>
        <w:pStyle w:val="ListBullet"/>
        <w:spacing w:after="60"/>
      </w:pPr>
      <w:r>
        <w:rPr>
          <w:sz w:val="21"/>
        </w:rPr>
        <w:t>Partner has many if-else conditions in their contract</w:t>
      </w:r>
    </w:p>
    <w:p>
      <w:pPr>
        <w:pStyle w:val="ListBullet"/>
        <w:spacing w:after="60"/>
      </w:pPr>
      <w:r>
        <w:rPr>
          <w:sz w:val="21"/>
        </w:rPr>
        <w:t>None of the simpler fee types fully covers the schedule</w:t>
      </w:r>
    </w:p>
    <w:p>
      <w:pPr>
        <w:spacing w:before="280" w:after="80"/>
      </w:pPr>
      <w:r>
        <w:rPr>
          <w:b/>
          <w:caps/>
          <w:color w:val="64748B"/>
          <w:sz w:val="22"/>
        </w:rPr>
        <w:t>How to configure</w:t>
      </w:r>
    </w:p>
    <w:p>
      <w:pPr>
        <w:pStyle w:val="ListNumber"/>
        <w:spacing w:after="80"/>
      </w:pPr>
      <w:r>
        <w:rPr>
          <w:sz w:val="21"/>
        </w:rPr>
        <w:t>Select Fee Rules — multiple conditions with + button</w:t>
      </w:r>
    </w:p>
    <w:p>
      <w:pPr>
        <w:pStyle w:val="ListNumber"/>
        <w:spacing w:after="80"/>
      </w:pPr>
      <w:r>
        <w:rPr>
          <w:sz w:val="21"/>
        </w:rPr>
        <w:t>Click + Add Rule for each condition</w:t>
      </w:r>
    </w:p>
    <w:p>
      <w:pPr>
        <w:pStyle w:val="ListNumber"/>
        <w:spacing w:after="80"/>
      </w:pPr>
      <w:r>
        <w:rPr>
          <w:sz w:val="21"/>
        </w:rPr>
        <w:t>For each rule: Amount &gt; ₱ (optional lower bound) and Amount ≤ ₱ (optional upper bound)</w:t>
      </w:r>
    </w:p>
    <w:p>
      <w:pPr>
        <w:pStyle w:val="ListNumber"/>
        <w:spacing w:after="80"/>
      </w:pPr>
      <w:r>
        <w:rPr>
          <w:sz w:val="21"/>
        </w:rPr>
        <w:t>Choose the fee type per rule: Zero / Flat / % + Floor / % + Floor + Cap</w:t>
      </w:r>
    </w:p>
    <w:p>
      <w:pPr>
        <w:pStyle w:val="ListNumber"/>
        <w:spacing w:after="80"/>
      </w:pPr>
      <w:r>
        <w:rPr>
          <w:sz w:val="21"/>
        </w:rPr>
        <w:t>Always add a default rule last — leave both amount fields blank</w:t>
      </w:r>
    </w:p>
    <w:p>
      <w:pPr>
        <w:spacing w:before="80" w:after="160"/>
        <w:ind w:left="283"/>
        <w:shd w:val="clear" w:color="auto" w:fill="FFF7ED"/>
      </w:pPr>
      <w:r>
        <w:rPr>
          <w:color w:val="C2410C"/>
          <w:sz w:val="20"/>
        </w:rPr>
        <w:t>⚠️  Rules are evaluated top to bottom. The first rule that matches wins. Put specific conditions first and the default (catch-all) last.</w:t>
      </w:r>
    </w:p>
    <w:p>
      <w:pPr>
        <w:spacing w:before="280" w:after="80"/>
      </w:pPr>
      <w:r>
        <w:rPr>
          <w:b/>
          <w:caps/>
          <w:color w:val="64748B"/>
          <w:sz w:val="22"/>
        </w:rPr>
        <w:t>Example 1 — Small transactions free, large ones billed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3402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3402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Fee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Rule 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Amount ≤ PHP 100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Zero — no fee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Rule 2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(default)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Flat — PHP 5.00</w:t>
            </w:r>
          </w:p>
        </w:tc>
      </w:tr>
    </w:tbl>
    <w:p/>
    <w:p>
      <w:pPr>
        <w:spacing w:before="280" w:after="80"/>
      </w:pPr>
      <w:r>
        <w:rPr>
          <w:b/>
          <w:caps/>
          <w:color w:val="64748B"/>
          <w:sz w:val="22"/>
        </w:rPr>
        <w:t>Example 2 — Mixed flat and percentage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3402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3402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Fee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Rule 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Amount ≤ PHP 500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Flat — PHP 3.00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Rule 2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(default — above PHP 500)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% + Floor — 0.8%, floor PHP 3</w:t>
            </w:r>
          </w:p>
        </w:tc>
      </w:tr>
    </w:tbl>
    <w:p/>
    <w:p>
      <w:pPr>
        <w:spacing w:before="80" w:after="160"/>
        <w:ind w:left="283"/>
        <w:shd w:val="clear" w:color="auto" w:fill="EFF6FF"/>
      </w:pPr>
      <w:r>
        <w:rPr>
          <w:color w:val="1D4ED8"/>
          <w:sz w:val="20"/>
        </w:rPr>
        <w:t>💡  To delete a rule, click the ✕ button on the right of the rule block. Rules renumber automatically.</w:t>
      </w:r>
    </w:p>
    <w:p>
      <w:r>
        <w:br w:type="page"/>
      </w:r>
    </w:p>
    <w:p>
      <w:pPr>
        <w:spacing w:before="400" w:after="120"/>
        <w:pBdr>
          <w:bottom w:val="single" w:sz="12" w:space="4" w:color="FFCC00"/>
        </w:pBdr>
      </w:pPr>
      <w:r>
        <w:rPr>
          <w:b/>
          <w:color w:val="003399"/>
          <w:sz w:val="32"/>
        </w:rPr>
        <w:t>Quick Decision Guide</w:t>
      </w:r>
    </w:p>
    <w:p>
      <w:pPr>
        <w:spacing w:after="120"/>
      </w:pPr>
      <w:r>
        <w:rPr>
          <w:sz w:val="21"/>
        </w:rPr>
        <w:t>Use this when you're not sure which fee type to pick: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669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268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Fee Type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Is the fee always PHP 0?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Zero</w:t>
            </w:r>
          </w:p>
        </w:tc>
      </w:tr>
      <w:tr>
        <w:tc>
          <w:tcPr>
            <w:tcW w:type="dxa" w:w="5669"/>
            <w:shd w:val="clear" w:color="auto" w:fill="F8FAFC"/>
          </w:tcPr>
          <w:p>
            <w:r>
              <w:rPr>
                <w:sz w:val="20"/>
              </w:rPr>
              <w:t>Same fixed amount every transaction?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Flat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Percentage with a minimum?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% + Floor</w:t>
            </w:r>
          </w:p>
        </w:tc>
      </w:tr>
      <w:tr>
        <w:tc>
          <w:tcPr>
            <w:tcW w:type="dxa" w:w="5669"/>
            <w:shd w:val="clear" w:color="auto" w:fill="F8FAFC"/>
          </w:tcPr>
          <w:p>
            <w:r>
              <w:rPr>
                <w:sz w:val="20"/>
              </w:rPr>
              <w:t>Percentage with both a minimum AND maximum?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% + Floor + Cap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Different fixed amount per transaction size?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Tiered by Amount</w:t>
            </w:r>
          </w:p>
        </w:tc>
      </w:tr>
      <w:tr>
        <w:tc>
          <w:tcPr>
            <w:tcW w:type="dxa" w:w="5669"/>
            <w:shd w:val="clear" w:color="auto" w:fill="F8FAFC"/>
          </w:tcPr>
          <w:p>
            <w:r>
              <w:rPr>
                <w:sz w:val="20"/>
              </w:rPr>
              <w:t>Depends on BOTH transaction size AND monthly volume?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Tiered by Amount + Run Count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Different percentage per amount range? (QRPh/VCA only)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Tiered Percentage</w:t>
            </w:r>
          </w:p>
        </w:tc>
      </w:tr>
      <w:tr>
        <w:tc>
          <w:tcPr>
            <w:tcW w:type="dxa" w:w="5669"/>
            <w:shd w:val="clear" w:color="auto" w:fill="F8FAFC"/>
          </w:tcPr>
          <w:p>
            <w:r>
              <w:rPr>
                <w:sz w:val="20"/>
              </w:rPr>
              <w:t>All transactions same rate set by total monthly count? (Disburse only)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Tiered by Count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None of the above, or mixed fee types per condition?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Fee Rules</w:t>
            </w:r>
          </w:p>
        </w:tc>
      </w:tr>
    </w:tbl>
    <w:p/>
    <w:p>
      <w:pPr>
        <w:spacing w:before="400" w:after="120"/>
        <w:pBdr>
          <w:bottom w:val="single" w:sz="12" w:space="4" w:color="FFCC00"/>
        </w:pBdr>
      </w:pPr>
      <w:r>
        <w:rPr>
          <w:b/>
          <w:color w:val="003399"/>
          <w:sz w:val="32"/>
        </w:rPr>
        <w:t>Common Mistakes to Avoid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69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969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✅ What to do instead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Entering 0.007 for 0.7%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Enter 0.7 — the portal converts it automatically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Forgetting the default tier/rule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Always add a final tier/rule with no upper limit (leave amount blank)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Putting the default rule first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Default must be LAST — rules are checked top to bottom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Setting VCA to Zero when partner has no VCA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Correct — Zero is the right setting for this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Using Tiered Percentage on Disburse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Tiered Percentage is Incoming only; use Fee Rules for Disburse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Using Tiered by Count on QRPh or VCA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Tiered by Count is Disburse only</w:t>
            </w:r>
          </w:p>
        </w:tc>
      </w:tr>
    </w:tbl>
    <w:p/>
    <w:p>
      <w:pPr>
        <w:spacing w:before="400" w:after="120"/>
        <w:pBdr>
          <w:bottom w:val="single" w:sz="12" w:space="4" w:color="FFCC00"/>
        </w:pBdr>
      </w:pPr>
      <w:r>
        <w:rPr>
          <w:b/>
          <w:color w:val="003399"/>
          <w:sz w:val="32"/>
        </w:rPr>
        <w:t>Fee Note Field</w:t>
      </w:r>
    </w:p>
    <w:p>
      <w:pPr>
        <w:spacing w:after="120"/>
      </w:pPr>
      <w:r>
        <w:rPr>
          <w:sz w:val="21"/>
        </w:rPr>
        <w:t>Every fee direction has a Fee Note text box below the configuration. This is a plain-language description that appears in the SUMMARY tab of the billing report — it is NOT used in any calculation.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Fee Type</w:t>
            </w:r>
          </w:p>
        </w:tc>
        <w:tc>
          <w:tcPr>
            <w:tcW w:type="dxa" w:w="5102"/>
            <w:shd w:val="clear" w:color="auto" w:fill="003399"/>
          </w:tcPr>
          <w:p>
            <w:r>
              <w:rPr>
                <w:b/>
                <w:color w:val="FFFFFF"/>
                <w:sz w:val="20"/>
              </w:rPr>
              <w:t>Example Fee Note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Flat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PHP 10 per transaction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% + Floor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sz w:val="20"/>
              </w:rPr>
              <w:t>0.7% or PHP 1.00 whichever is higher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Tiered by Amount + Run Count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PHP 6 (≤₱600); PHP 10 or PHP 8 volume discount (&gt;30k txns)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Tiered by Count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sz w:val="20"/>
              </w:rPr>
              <w:t>PHP 9.50 (&lt;30k) / PHP 9.00 (30k-99k) / PHP 8.00 (100k-299k)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Fee Rules / Tiered %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0.90%/floor₱1 (≤₱120) / 0.75% (₱121-250) / 0.50% (&gt;₱500)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