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97938" w14:textId="77098054" w:rsidR="001A65E2" w:rsidRDefault="005C77A4" w:rsidP="001A65E2">
      <w:pPr>
        <w:pStyle w:val="Heading3"/>
        <w:rPr>
          <w:rFonts w:hint="eastAsia"/>
        </w:rPr>
      </w:pPr>
      <w:bookmarkStart w:id="0" w:name="_Toc1723625289"/>
      <w:r>
        <w:t xml:space="preserve">Process </w:t>
      </w:r>
      <w:r w:rsidR="001A65E2" w:rsidRPr="1E8B8FB0">
        <w:t>Intake Questionnaire</w:t>
      </w:r>
      <w:bookmarkEnd w:id="0"/>
      <w:r w:rsidR="001A65E2" w:rsidRPr="1E8B8FB0">
        <w:t xml:space="preserve"> </w:t>
      </w:r>
    </w:p>
    <w:p w14:paraId="4D710955" w14:textId="6100CACF" w:rsidR="005C77A4" w:rsidRDefault="001A65E2" w:rsidP="001A65E2">
      <w:pPr>
        <w:keepNext/>
        <w:keepLines/>
      </w:pPr>
      <w:r>
        <w:br/>
      </w:r>
      <w:r w:rsidRPr="005C77A4">
        <w:rPr>
          <w:b/>
          <w:bCs/>
        </w:rPr>
        <w:t>Intended audience:</w:t>
      </w:r>
      <w:r w:rsidRPr="1E8B8FB0">
        <w:t xml:space="preserve"> Service/Process Owners</w:t>
      </w:r>
      <w:r>
        <w:br/>
      </w:r>
      <w:r>
        <w:br/>
      </w:r>
      <w:r w:rsidRPr="1E8B8FB0">
        <w:t xml:space="preserve">This questionnaire is meant to serve as an initial intake tool to qualify if a service/process would be a good candidate for process mining. </w:t>
      </w:r>
      <w:r w:rsidR="005C77A4">
        <w:t>It is meant to be circulated broadly to help you collect an inventory of possible process mining candidates in an organization.</w:t>
      </w:r>
    </w:p>
    <w:p w14:paraId="11BC100B" w14:textId="77E95E82" w:rsidR="001A65E2" w:rsidRDefault="005C77A4" w:rsidP="001A65E2">
      <w:pPr>
        <w:keepNext/>
        <w:keepLines/>
        <w:rPr>
          <w:rFonts w:hint="eastAsia"/>
        </w:rPr>
      </w:pPr>
      <w:r>
        <w:t>This questionnaire is</w:t>
      </w:r>
      <w:r w:rsidR="001A65E2" w:rsidRPr="1E8B8FB0">
        <w:t xml:space="preserve"> meant to be short and get at the most important criteria while attempting to disqualify processes early-on that aren’t fit/ready for process mining. We assess factors such as volumetrics, service level priority, and data complexity to (dis)qualify and attribute a baseline priority for further qualification. Those processes that </w:t>
      </w:r>
      <w:r>
        <w:t xml:space="preserve">initially </w:t>
      </w:r>
      <w:r w:rsidR="001A65E2">
        <w:t>qualify</w:t>
      </w:r>
      <w:r w:rsidR="001A65E2" w:rsidRPr="1E8B8FB0">
        <w:t xml:space="preserve"> will be further evaluated and prioritized </w:t>
      </w:r>
      <w:r>
        <w:t>with the process evaluation questionnaire</w:t>
      </w:r>
      <w:r w:rsidR="001A65E2" w:rsidRPr="1E8B8FB0">
        <w:t>.</w:t>
      </w:r>
    </w:p>
    <w:p w14:paraId="4873710E" w14:textId="5AC6DB4A" w:rsidR="001A65E2" w:rsidRPr="001A65E2" w:rsidRDefault="001A65E2" w:rsidP="001A65E2">
      <w:pPr>
        <w:keepNext/>
        <w:keepLines/>
        <w:rPr>
          <w:rFonts w:hint="eastAsia"/>
        </w:rPr>
      </w:pPr>
      <w:r w:rsidRPr="1E8B8FB0">
        <w:t xml:space="preserve">You can use this questionnaire in-person with a potential </w:t>
      </w:r>
      <w:r>
        <w:t>service/process owner.</w:t>
      </w:r>
      <w:r w:rsidRPr="1E8B8FB0">
        <w:t xml:space="preserve"> </w:t>
      </w:r>
      <w:r>
        <w:t>Y</w:t>
      </w:r>
      <w:r w:rsidRPr="1E8B8FB0">
        <w:t xml:space="preserve">ou can also </w:t>
      </w:r>
      <w:r>
        <w:t>setup an electronic intake form using tools like</w:t>
      </w:r>
      <w:r w:rsidRPr="1E8B8FB0">
        <w:t xml:space="preserve"> </w:t>
      </w:r>
      <w:hyperlink r:id="rId5" w:history="1">
        <w:r w:rsidRPr="001A65E2">
          <w:rPr>
            <w:rStyle w:val="Hyperlink"/>
          </w:rPr>
          <w:t>Microsoft Forms</w:t>
        </w:r>
      </w:hyperlink>
      <w:r w:rsidRPr="1E8B8FB0">
        <w:t xml:space="preserve"> or </w:t>
      </w:r>
      <w:hyperlink r:id="rId6" w:history="1">
        <w:r w:rsidRPr="001A65E2">
          <w:rPr>
            <w:rStyle w:val="Hyperlink"/>
          </w:rPr>
          <w:t>GC Forms</w:t>
        </w:r>
      </w:hyperlink>
      <w:r>
        <w:t>.</w:t>
      </w:r>
    </w:p>
    <w:p w14:paraId="0FC5046D" w14:textId="77777777" w:rsidR="001A65E2" w:rsidRDefault="001A65E2" w:rsidP="001A65E2">
      <w:pPr>
        <w:keepNext/>
        <w:keepLines/>
        <w:rPr>
          <w:rFonts w:hint="eastAsia"/>
          <w:sz w:val="22"/>
          <w:szCs w:val="22"/>
        </w:rPr>
      </w:pPr>
      <w:r w:rsidRPr="4FDAAD96">
        <w:rPr>
          <w:b/>
          <w:bCs/>
        </w:rPr>
        <w:t>Notice to user:</w:t>
      </w:r>
      <w:r w:rsidRPr="4FDAAD96">
        <w:t xml:space="preserve"> We tend to use the term service and process interchangeably.</w:t>
      </w:r>
    </w:p>
    <w:tbl>
      <w:tblPr>
        <w:tblStyle w:val="TableGrid"/>
        <w:tblW w:w="9360" w:type="dxa"/>
        <w:tblLayout w:type="fixed"/>
        <w:tblLook w:val="06A0" w:firstRow="1" w:lastRow="0" w:firstColumn="1" w:lastColumn="0" w:noHBand="1" w:noVBand="1"/>
      </w:tblPr>
      <w:tblGrid>
        <w:gridCol w:w="3135"/>
        <w:gridCol w:w="3381"/>
        <w:gridCol w:w="2844"/>
      </w:tblGrid>
      <w:tr w:rsidR="001A65E2" w14:paraId="7CF41453" w14:textId="77777777" w:rsidTr="001A65E2">
        <w:trPr>
          <w:trHeight w:val="300"/>
        </w:trPr>
        <w:tc>
          <w:tcPr>
            <w:tcW w:w="3135" w:type="dxa"/>
            <w:shd w:val="clear" w:color="auto" w:fill="F2F2F2" w:themeFill="background1" w:themeFillShade="F2"/>
          </w:tcPr>
          <w:p w14:paraId="14477103" w14:textId="77777777" w:rsidR="001A65E2" w:rsidRDefault="001A65E2" w:rsidP="00756821">
            <w:pPr>
              <w:rPr>
                <w:rFonts w:hint="eastAsia"/>
                <w:b/>
                <w:bCs/>
              </w:rPr>
            </w:pPr>
            <w:r w:rsidRPr="4FDAAD96">
              <w:rPr>
                <w:b/>
                <w:bCs/>
              </w:rPr>
              <w:t>Question</w:t>
            </w:r>
          </w:p>
        </w:tc>
        <w:tc>
          <w:tcPr>
            <w:tcW w:w="3381" w:type="dxa"/>
            <w:shd w:val="clear" w:color="auto" w:fill="F2F2F2" w:themeFill="background1" w:themeFillShade="F2"/>
          </w:tcPr>
          <w:p w14:paraId="13C74866" w14:textId="634A4432" w:rsidR="001A65E2" w:rsidRDefault="001A65E2" w:rsidP="00756821">
            <w:pPr>
              <w:rPr>
                <w:rFonts w:hint="eastAsia"/>
                <w:b/>
                <w:bCs/>
              </w:rPr>
            </w:pPr>
            <w:r w:rsidRPr="4FDAAD96">
              <w:rPr>
                <w:b/>
                <w:bCs/>
              </w:rPr>
              <w:t>Rationale</w:t>
            </w:r>
            <w:r w:rsidR="006E3720">
              <w:rPr>
                <w:b/>
                <w:bCs/>
              </w:rPr>
              <w:t xml:space="preserve"> / Description</w:t>
            </w:r>
          </w:p>
        </w:tc>
        <w:tc>
          <w:tcPr>
            <w:tcW w:w="2844" w:type="dxa"/>
            <w:shd w:val="clear" w:color="auto" w:fill="F2F2F2" w:themeFill="background1" w:themeFillShade="F2"/>
          </w:tcPr>
          <w:p w14:paraId="5F312F65" w14:textId="77777777" w:rsidR="001A65E2" w:rsidRDefault="001A65E2" w:rsidP="00756821">
            <w:pPr>
              <w:rPr>
                <w:rFonts w:hint="eastAsia"/>
                <w:b/>
                <w:bCs/>
              </w:rPr>
            </w:pPr>
            <w:r w:rsidRPr="4FDAAD96">
              <w:rPr>
                <w:b/>
                <w:bCs/>
              </w:rPr>
              <w:t>Composite Scoring / Decision Criteria</w:t>
            </w:r>
          </w:p>
        </w:tc>
      </w:tr>
      <w:tr w:rsidR="001A65E2" w14:paraId="4F976046" w14:textId="77777777" w:rsidTr="001A65E2">
        <w:trPr>
          <w:trHeight w:val="300"/>
        </w:trPr>
        <w:tc>
          <w:tcPr>
            <w:tcW w:w="3135" w:type="dxa"/>
          </w:tcPr>
          <w:p w14:paraId="3ABC9DCD" w14:textId="77777777" w:rsidR="001A65E2" w:rsidRDefault="001A65E2" w:rsidP="001A65E2">
            <w:pPr>
              <w:pStyle w:val="ListParagraph"/>
              <w:numPr>
                <w:ilvl w:val="0"/>
                <w:numId w:val="3"/>
              </w:numPr>
              <w:spacing w:line="259" w:lineRule="auto"/>
              <w:rPr>
                <w:rFonts w:hint="eastAsia"/>
                <w:color w:val="3A414A"/>
                <w:sz w:val="22"/>
                <w:szCs w:val="22"/>
              </w:rPr>
            </w:pPr>
            <w:r w:rsidRPr="4FDAAD96">
              <w:rPr>
                <w:color w:val="3A414A"/>
                <w:sz w:val="22"/>
                <w:szCs w:val="22"/>
              </w:rPr>
              <w:t>Please provide a short description of the process (or service).</w:t>
            </w:r>
          </w:p>
        </w:tc>
        <w:tc>
          <w:tcPr>
            <w:tcW w:w="3381" w:type="dxa"/>
          </w:tcPr>
          <w:p w14:paraId="70FE9FCE" w14:textId="7DD2B989" w:rsidR="001A65E2" w:rsidRDefault="001A65E2" w:rsidP="00756821">
            <w:pPr>
              <w:rPr>
                <w:rFonts w:hint="eastAsia"/>
                <w:sz w:val="22"/>
                <w:szCs w:val="22"/>
              </w:rPr>
            </w:pPr>
            <w:r w:rsidRPr="4FDAAD96">
              <w:rPr>
                <w:sz w:val="22"/>
                <w:szCs w:val="22"/>
              </w:rPr>
              <w:t xml:space="preserve">To understand the </w:t>
            </w:r>
            <w:r>
              <w:rPr>
                <w:sz w:val="22"/>
                <w:szCs w:val="22"/>
              </w:rPr>
              <w:t>value/purpose of the process to the organization.</w:t>
            </w:r>
          </w:p>
        </w:tc>
        <w:tc>
          <w:tcPr>
            <w:tcW w:w="2844" w:type="dxa"/>
          </w:tcPr>
          <w:p w14:paraId="734595F9" w14:textId="77777777" w:rsidR="001A65E2" w:rsidRDefault="001A65E2" w:rsidP="00756821">
            <w:pPr>
              <w:rPr>
                <w:rFonts w:hint="eastAsia"/>
                <w:sz w:val="22"/>
                <w:szCs w:val="22"/>
              </w:rPr>
            </w:pPr>
            <w:r w:rsidRPr="4FDAAD96">
              <w:rPr>
                <w:sz w:val="22"/>
                <w:szCs w:val="22"/>
              </w:rPr>
              <w:t>N/A</w:t>
            </w:r>
          </w:p>
        </w:tc>
      </w:tr>
      <w:tr w:rsidR="001A65E2" w14:paraId="2530FC3C" w14:textId="77777777" w:rsidTr="001A65E2">
        <w:trPr>
          <w:trHeight w:val="300"/>
        </w:trPr>
        <w:tc>
          <w:tcPr>
            <w:tcW w:w="3135" w:type="dxa"/>
          </w:tcPr>
          <w:p w14:paraId="7D555024" w14:textId="77777777" w:rsidR="001A65E2" w:rsidRDefault="001A65E2" w:rsidP="001A65E2">
            <w:pPr>
              <w:pStyle w:val="ListParagraph"/>
              <w:numPr>
                <w:ilvl w:val="0"/>
                <w:numId w:val="3"/>
              </w:numPr>
              <w:spacing w:line="259" w:lineRule="auto"/>
              <w:rPr>
                <w:rFonts w:hint="eastAsia"/>
                <w:color w:val="3A414A"/>
                <w:sz w:val="22"/>
                <w:szCs w:val="22"/>
              </w:rPr>
            </w:pPr>
            <w:r w:rsidRPr="1E8B8FB0">
              <w:rPr>
                <w:color w:val="3A414A"/>
                <w:sz w:val="22"/>
                <w:szCs w:val="22"/>
              </w:rPr>
              <w:t xml:space="preserve">What software systems do you use to support the delivery of your service?          </w:t>
            </w:r>
            <w:r>
              <w:br/>
            </w:r>
            <w:r>
              <w:br/>
            </w:r>
            <w:r w:rsidRPr="1E8B8FB0">
              <w:rPr>
                <w:color w:val="3A414A"/>
                <w:sz w:val="22"/>
                <w:szCs w:val="22"/>
              </w:rPr>
              <w:t>(</w:t>
            </w:r>
            <w:proofErr w:type="spellStart"/>
            <w:r w:rsidRPr="1E8B8FB0">
              <w:rPr>
                <w:color w:val="3A414A"/>
                <w:sz w:val="22"/>
                <w:szCs w:val="22"/>
              </w:rPr>
              <w:t>E.g</w:t>
            </w:r>
            <w:proofErr w:type="spellEnd"/>
            <w:r w:rsidRPr="1E8B8FB0">
              <w:rPr>
                <w:color w:val="3A414A"/>
                <w:sz w:val="22"/>
                <w:szCs w:val="22"/>
              </w:rPr>
              <w:t>: Email, Group Mailbox, Case Management, COTS, Intranet, Portals, Other)</w:t>
            </w:r>
          </w:p>
        </w:tc>
        <w:tc>
          <w:tcPr>
            <w:tcW w:w="3381" w:type="dxa"/>
          </w:tcPr>
          <w:p w14:paraId="4CF078CD" w14:textId="33AA0296" w:rsidR="001A65E2" w:rsidRDefault="001A65E2" w:rsidP="00756821">
            <w:pPr>
              <w:rPr>
                <w:rFonts w:hint="eastAsia"/>
                <w:sz w:val="22"/>
                <w:szCs w:val="22"/>
              </w:rPr>
            </w:pPr>
            <w:r w:rsidRPr="4FDAAD96">
              <w:rPr>
                <w:sz w:val="22"/>
                <w:szCs w:val="22"/>
              </w:rPr>
              <w:t xml:space="preserve">To understand how many systems are involved to support the process. The </w:t>
            </w:r>
            <w:r>
              <w:rPr>
                <w:sz w:val="22"/>
                <w:szCs w:val="22"/>
              </w:rPr>
              <w:t xml:space="preserve">more </w:t>
            </w:r>
            <w:r w:rsidRPr="4FDAAD96">
              <w:rPr>
                <w:sz w:val="22"/>
                <w:szCs w:val="22"/>
              </w:rPr>
              <w:t xml:space="preserve">systems, the more difficult it may be to process mine as </w:t>
            </w:r>
            <w:r>
              <w:rPr>
                <w:sz w:val="22"/>
                <w:szCs w:val="22"/>
              </w:rPr>
              <w:t>data may be too fragmented and/or</w:t>
            </w:r>
            <w:r w:rsidRPr="4FDAAD96">
              <w:rPr>
                <w:sz w:val="22"/>
                <w:szCs w:val="22"/>
              </w:rPr>
              <w:t xml:space="preserve"> systems may have different data quality and characteristics. </w:t>
            </w:r>
            <w:r>
              <w:rPr>
                <w:sz w:val="22"/>
                <w:szCs w:val="22"/>
              </w:rPr>
              <w:br/>
            </w:r>
            <w:r>
              <w:rPr>
                <w:sz w:val="22"/>
                <w:szCs w:val="22"/>
              </w:rPr>
              <w:br/>
            </w:r>
            <w:r w:rsidRPr="4FDAAD96">
              <w:rPr>
                <w:sz w:val="22"/>
                <w:szCs w:val="22"/>
              </w:rPr>
              <w:t xml:space="preserve">Furthermore, </w:t>
            </w:r>
            <w:r w:rsidRPr="001A65E2">
              <w:rPr>
                <w:b/>
                <w:bCs/>
                <w:sz w:val="22"/>
                <w:szCs w:val="22"/>
              </w:rPr>
              <w:t>processes that are run solely on e-mail</w:t>
            </w:r>
            <w:r w:rsidRPr="001A65E2">
              <w:rPr>
                <w:b/>
                <w:bCs/>
                <w:sz w:val="22"/>
                <w:szCs w:val="22"/>
              </w:rPr>
              <w:t xml:space="preserve"> and PDF forms </w:t>
            </w:r>
            <w:r w:rsidRPr="001A65E2">
              <w:rPr>
                <w:b/>
                <w:bCs/>
                <w:sz w:val="22"/>
                <w:szCs w:val="22"/>
              </w:rPr>
              <w:t>are not easily mined and should be disqualified.</w:t>
            </w:r>
          </w:p>
        </w:tc>
        <w:tc>
          <w:tcPr>
            <w:tcW w:w="2844" w:type="dxa"/>
          </w:tcPr>
          <w:p w14:paraId="7AF4314D" w14:textId="527BBB44" w:rsidR="001A65E2" w:rsidRDefault="001A65E2" w:rsidP="00756821">
            <w:pPr>
              <w:rPr>
                <w:rFonts w:hint="eastAsia"/>
                <w:sz w:val="22"/>
                <w:szCs w:val="22"/>
              </w:rPr>
            </w:pPr>
            <w:r w:rsidRPr="001A65E2">
              <w:rPr>
                <w:b/>
                <w:bCs/>
                <w:sz w:val="22"/>
                <w:szCs w:val="22"/>
              </w:rPr>
              <w:t>If email/pdf --&gt; disqualify</w:t>
            </w:r>
            <w:r w:rsidRPr="001A65E2">
              <w:rPr>
                <w:b/>
                <w:bCs/>
                <w:sz w:val="22"/>
                <w:szCs w:val="22"/>
              </w:rPr>
              <w:br/>
            </w:r>
            <w:r>
              <w:br/>
            </w:r>
            <w:r w:rsidRPr="4FDAAD96">
              <w:rPr>
                <w:sz w:val="22"/>
                <w:szCs w:val="22"/>
              </w:rPr>
              <w:t>+</w:t>
            </w:r>
            <w:r w:rsidR="006E3720">
              <w:rPr>
                <w:sz w:val="22"/>
                <w:szCs w:val="22"/>
              </w:rPr>
              <w:t>2</w:t>
            </w:r>
            <w:r w:rsidRPr="4FDAAD96">
              <w:rPr>
                <w:sz w:val="22"/>
                <w:szCs w:val="22"/>
              </w:rPr>
              <w:t xml:space="preserve"> points:</w:t>
            </w:r>
            <w:r>
              <w:rPr>
                <w:sz w:val="22"/>
                <w:szCs w:val="22"/>
              </w:rPr>
              <w:br/>
            </w:r>
            <w:r w:rsidRPr="4FDAAD96">
              <w:rPr>
                <w:sz w:val="22"/>
                <w:szCs w:val="22"/>
              </w:rPr>
              <w:t>ERP or BPM platform</w:t>
            </w:r>
          </w:p>
          <w:p w14:paraId="4B319436" w14:textId="33FAC91D" w:rsidR="001A65E2" w:rsidRDefault="001A65E2" w:rsidP="00756821">
            <w:pPr>
              <w:rPr>
                <w:rFonts w:hint="eastAsia"/>
                <w:sz w:val="22"/>
                <w:szCs w:val="22"/>
              </w:rPr>
            </w:pPr>
            <w:r w:rsidRPr="4FDAAD96">
              <w:rPr>
                <w:sz w:val="22"/>
                <w:szCs w:val="22"/>
              </w:rPr>
              <w:t>+</w:t>
            </w:r>
            <w:r w:rsidR="006E3720">
              <w:rPr>
                <w:sz w:val="22"/>
                <w:szCs w:val="22"/>
              </w:rPr>
              <w:t>1</w:t>
            </w:r>
            <w:r w:rsidRPr="4FDAAD96">
              <w:rPr>
                <w:sz w:val="22"/>
                <w:szCs w:val="22"/>
              </w:rPr>
              <w:t xml:space="preserve"> points:</w:t>
            </w:r>
            <w:r>
              <w:rPr>
                <w:sz w:val="22"/>
                <w:szCs w:val="22"/>
              </w:rPr>
              <w:br/>
            </w:r>
            <w:r w:rsidRPr="4FDAAD96">
              <w:rPr>
                <w:sz w:val="22"/>
                <w:szCs w:val="22"/>
              </w:rPr>
              <w:t>Case Management</w:t>
            </w:r>
            <w:r w:rsidR="006E3720">
              <w:rPr>
                <w:sz w:val="22"/>
                <w:szCs w:val="22"/>
              </w:rPr>
              <w:t xml:space="preserve"> or </w:t>
            </w:r>
            <w:r w:rsidRPr="4FDAAD96">
              <w:rPr>
                <w:sz w:val="22"/>
                <w:szCs w:val="22"/>
              </w:rPr>
              <w:t>CRM</w:t>
            </w:r>
          </w:p>
          <w:p w14:paraId="02F9EA6B" w14:textId="7E28AE2C" w:rsidR="001A65E2" w:rsidRDefault="001A65E2" w:rsidP="00756821">
            <w:pPr>
              <w:rPr>
                <w:rFonts w:hint="eastAsia"/>
                <w:sz w:val="22"/>
                <w:szCs w:val="22"/>
              </w:rPr>
            </w:pPr>
            <w:r w:rsidRPr="4FDAAD96">
              <w:rPr>
                <w:sz w:val="22"/>
                <w:szCs w:val="22"/>
              </w:rPr>
              <w:t>0 points:</w:t>
            </w:r>
            <w:r>
              <w:rPr>
                <w:sz w:val="22"/>
                <w:szCs w:val="22"/>
              </w:rPr>
              <w:br/>
            </w:r>
            <w:r w:rsidRPr="4FDAAD96">
              <w:rPr>
                <w:sz w:val="22"/>
                <w:szCs w:val="22"/>
              </w:rPr>
              <w:t xml:space="preserve">Custom App, </w:t>
            </w:r>
            <w:r w:rsidR="006E3720">
              <w:rPr>
                <w:sz w:val="22"/>
                <w:szCs w:val="22"/>
              </w:rPr>
              <w:t>COTS</w:t>
            </w:r>
            <w:r w:rsidRPr="000F50B8">
              <w:rPr>
                <w:sz w:val="22"/>
                <w:szCs w:val="22"/>
              </w:rPr>
              <w:t xml:space="preserve">, </w:t>
            </w:r>
            <w:r w:rsidR="006E3720">
              <w:rPr>
                <w:sz w:val="22"/>
                <w:szCs w:val="22"/>
              </w:rPr>
              <w:t>Other</w:t>
            </w:r>
          </w:p>
          <w:p w14:paraId="48A2B61B" w14:textId="6B06E71C" w:rsidR="001A65E2" w:rsidRDefault="001A65E2" w:rsidP="00756821">
            <w:pPr>
              <w:rPr>
                <w:rFonts w:hint="eastAsia"/>
                <w:sz w:val="22"/>
                <w:szCs w:val="22"/>
              </w:rPr>
            </w:pPr>
            <w:r w:rsidRPr="4FDAAD96">
              <w:rPr>
                <w:sz w:val="22"/>
                <w:szCs w:val="22"/>
              </w:rPr>
              <w:t>If process spans more than 1 system, deduct one point per system</w:t>
            </w:r>
            <w:r w:rsidR="006E3720">
              <w:rPr>
                <w:sz w:val="22"/>
                <w:szCs w:val="22"/>
              </w:rPr>
              <w:t>.</w:t>
            </w:r>
          </w:p>
        </w:tc>
      </w:tr>
      <w:tr w:rsidR="001A65E2" w14:paraId="2BD9CE02" w14:textId="77777777" w:rsidTr="001A65E2">
        <w:trPr>
          <w:trHeight w:val="300"/>
        </w:trPr>
        <w:tc>
          <w:tcPr>
            <w:tcW w:w="3135" w:type="dxa"/>
          </w:tcPr>
          <w:p w14:paraId="63494CC8" w14:textId="77777777" w:rsidR="001A65E2" w:rsidRDefault="001A65E2" w:rsidP="001A65E2">
            <w:pPr>
              <w:pStyle w:val="ListParagraph"/>
              <w:numPr>
                <w:ilvl w:val="0"/>
                <w:numId w:val="3"/>
              </w:numPr>
              <w:spacing w:after="0" w:line="259" w:lineRule="auto"/>
              <w:rPr>
                <w:rFonts w:hint="eastAsia"/>
                <w:color w:val="3A414A"/>
                <w:sz w:val="22"/>
                <w:szCs w:val="22"/>
              </w:rPr>
            </w:pPr>
            <w:r w:rsidRPr="4FDAAD96">
              <w:rPr>
                <w:color w:val="3A414A"/>
                <w:sz w:val="22"/>
                <w:szCs w:val="22"/>
              </w:rPr>
              <w:lastRenderedPageBreak/>
              <w:t>(If you know) Do you have a service level agreement (SLA)?</w:t>
            </w:r>
            <w:r>
              <w:br/>
            </w:r>
          </w:p>
          <w:p w14:paraId="0E137D56" w14:textId="77777777" w:rsidR="001A65E2" w:rsidRDefault="001A65E2" w:rsidP="001A65E2">
            <w:pPr>
              <w:pStyle w:val="ListParagraph"/>
              <w:numPr>
                <w:ilvl w:val="0"/>
                <w:numId w:val="1"/>
              </w:numPr>
              <w:spacing w:line="259" w:lineRule="auto"/>
              <w:rPr>
                <w:rFonts w:hint="eastAsia"/>
                <w:color w:val="3A414A"/>
                <w:sz w:val="22"/>
                <w:szCs w:val="22"/>
              </w:rPr>
            </w:pPr>
            <w:r w:rsidRPr="1E8B8FB0">
              <w:rPr>
                <w:color w:val="3A414A"/>
                <w:sz w:val="22"/>
                <w:szCs w:val="22"/>
              </w:rPr>
              <w:t>If yes, please share the documentation.</w:t>
            </w:r>
          </w:p>
        </w:tc>
        <w:tc>
          <w:tcPr>
            <w:tcW w:w="3381" w:type="dxa"/>
          </w:tcPr>
          <w:p w14:paraId="1CBBF634" w14:textId="20675623" w:rsidR="001A65E2" w:rsidRDefault="001A65E2" w:rsidP="00756821">
            <w:pPr>
              <w:rPr>
                <w:rFonts w:hint="eastAsia"/>
                <w:sz w:val="22"/>
                <w:szCs w:val="22"/>
              </w:rPr>
            </w:pPr>
            <w:r w:rsidRPr="4FDAAD96">
              <w:rPr>
                <w:sz w:val="22"/>
                <w:szCs w:val="22"/>
              </w:rPr>
              <w:t xml:space="preserve">Processes with a service level agreement are likely higher volume and more mature. </w:t>
            </w:r>
          </w:p>
        </w:tc>
        <w:tc>
          <w:tcPr>
            <w:tcW w:w="2844" w:type="dxa"/>
          </w:tcPr>
          <w:p w14:paraId="076D3099" w14:textId="17C628BF" w:rsidR="001A65E2" w:rsidRDefault="001A65E2" w:rsidP="00756821">
            <w:pPr>
              <w:rPr>
                <w:rFonts w:hint="eastAsia"/>
                <w:sz w:val="22"/>
                <w:szCs w:val="22"/>
              </w:rPr>
            </w:pPr>
            <w:r w:rsidRPr="4FDAAD96">
              <w:rPr>
                <w:sz w:val="22"/>
                <w:szCs w:val="22"/>
              </w:rPr>
              <w:t>+1 point:</w:t>
            </w:r>
            <w:r w:rsidR="006E3720">
              <w:rPr>
                <w:sz w:val="22"/>
                <w:szCs w:val="22"/>
              </w:rPr>
              <w:br/>
            </w:r>
            <w:r w:rsidRPr="4FDAAD96">
              <w:rPr>
                <w:sz w:val="22"/>
                <w:szCs w:val="22"/>
              </w:rPr>
              <w:t>SLA defined</w:t>
            </w:r>
          </w:p>
          <w:p w14:paraId="02EE03CD" w14:textId="77777777" w:rsidR="001A65E2" w:rsidRDefault="001A65E2" w:rsidP="00756821">
            <w:pPr>
              <w:rPr>
                <w:rFonts w:hint="eastAsia"/>
                <w:sz w:val="22"/>
                <w:szCs w:val="22"/>
              </w:rPr>
            </w:pPr>
            <w:r w:rsidRPr="4FDAAD96">
              <w:rPr>
                <w:sz w:val="22"/>
                <w:szCs w:val="22"/>
              </w:rPr>
              <w:t>0 points:</w:t>
            </w:r>
          </w:p>
          <w:p w14:paraId="00147504" w14:textId="77777777" w:rsidR="001A65E2" w:rsidRDefault="001A65E2" w:rsidP="00756821">
            <w:pPr>
              <w:rPr>
                <w:rFonts w:hint="eastAsia"/>
                <w:sz w:val="22"/>
                <w:szCs w:val="22"/>
              </w:rPr>
            </w:pPr>
            <w:r w:rsidRPr="4FDAAD96">
              <w:rPr>
                <w:sz w:val="22"/>
                <w:szCs w:val="22"/>
              </w:rPr>
              <w:t>No SLA defined</w:t>
            </w:r>
          </w:p>
        </w:tc>
      </w:tr>
      <w:tr w:rsidR="00A23582" w14:paraId="6A48687F" w14:textId="77777777" w:rsidTr="001A65E2">
        <w:trPr>
          <w:trHeight w:val="300"/>
        </w:trPr>
        <w:tc>
          <w:tcPr>
            <w:tcW w:w="3135" w:type="dxa"/>
          </w:tcPr>
          <w:p w14:paraId="21AC5071" w14:textId="10CF6D7B" w:rsidR="00A23582" w:rsidRPr="4FDAAD96" w:rsidRDefault="00A23582" w:rsidP="001A65E2">
            <w:pPr>
              <w:pStyle w:val="ListParagraph"/>
              <w:numPr>
                <w:ilvl w:val="0"/>
                <w:numId w:val="3"/>
              </w:numPr>
              <w:spacing w:after="0" w:line="259" w:lineRule="auto"/>
              <w:rPr>
                <w:color w:val="3A414A"/>
                <w:sz w:val="22"/>
                <w:szCs w:val="22"/>
              </w:rPr>
            </w:pPr>
            <w:r>
              <w:rPr>
                <w:color w:val="3A414A"/>
                <w:sz w:val="22"/>
                <w:szCs w:val="22"/>
              </w:rPr>
              <w:t>Is this process mission critical for the healthy functioning of a person or business entity?</w:t>
            </w:r>
          </w:p>
        </w:tc>
        <w:tc>
          <w:tcPr>
            <w:tcW w:w="3381" w:type="dxa"/>
          </w:tcPr>
          <w:p w14:paraId="6A96BA51" w14:textId="266D0FF5" w:rsidR="00A23582" w:rsidRPr="4FDAAD96" w:rsidRDefault="00A23582" w:rsidP="00756821">
            <w:pPr>
              <w:rPr>
                <w:sz w:val="22"/>
                <w:szCs w:val="22"/>
              </w:rPr>
            </w:pPr>
            <w:r>
              <w:rPr>
                <w:sz w:val="22"/>
                <w:szCs w:val="22"/>
              </w:rPr>
              <w:t xml:space="preserve">Mission critical processes may not be high-volume but are significant to protecting citizens or </w:t>
            </w:r>
            <w:r w:rsidR="00982EE1">
              <w:rPr>
                <w:sz w:val="22"/>
                <w:szCs w:val="22"/>
              </w:rPr>
              <w:t>reaching an organization’s mandate.</w:t>
            </w:r>
          </w:p>
        </w:tc>
        <w:tc>
          <w:tcPr>
            <w:tcW w:w="2844" w:type="dxa"/>
          </w:tcPr>
          <w:p w14:paraId="38641096" w14:textId="236D4090" w:rsidR="00A23582" w:rsidRDefault="00A23582" w:rsidP="00756821">
            <w:pPr>
              <w:rPr>
                <w:sz w:val="22"/>
                <w:szCs w:val="22"/>
              </w:rPr>
            </w:pPr>
            <w:r>
              <w:rPr>
                <w:sz w:val="22"/>
                <w:szCs w:val="22"/>
              </w:rPr>
              <w:t>+2 point:</w:t>
            </w:r>
            <w:r>
              <w:rPr>
                <w:sz w:val="22"/>
                <w:szCs w:val="22"/>
              </w:rPr>
              <w:br/>
              <w:t>Mandate-critical process</w:t>
            </w:r>
          </w:p>
          <w:p w14:paraId="3376A944" w14:textId="5CDC2483" w:rsidR="00A23582" w:rsidRPr="4FDAAD96" w:rsidRDefault="00A23582" w:rsidP="00756821">
            <w:pPr>
              <w:rPr>
                <w:sz w:val="22"/>
                <w:szCs w:val="22"/>
              </w:rPr>
            </w:pPr>
            <w:r>
              <w:rPr>
                <w:sz w:val="22"/>
                <w:szCs w:val="22"/>
              </w:rPr>
              <w:t>+1 point:</w:t>
            </w:r>
            <w:r>
              <w:rPr>
                <w:sz w:val="22"/>
                <w:szCs w:val="22"/>
              </w:rPr>
              <w:br/>
              <w:t>Mission-critical process</w:t>
            </w:r>
          </w:p>
        </w:tc>
      </w:tr>
      <w:tr w:rsidR="001A65E2" w14:paraId="00723EF8" w14:textId="77777777" w:rsidTr="001A65E2">
        <w:trPr>
          <w:trHeight w:val="300"/>
        </w:trPr>
        <w:tc>
          <w:tcPr>
            <w:tcW w:w="3135" w:type="dxa"/>
          </w:tcPr>
          <w:p w14:paraId="5DC0EC00" w14:textId="77777777" w:rsidR="001A65E2" w:rsidRDefault="001A65E2" w:rsidP="001A65E2">
            <w:pPr>
              <w:pStyle w:val="ListParagraph"/>
              <w:numPr>
                <w:ilvl w:val="0"/>
                <w:numId w:val="3"/>
              </w:numPr>
              <w:spacing w:after="0" w:line="259" w:lineRule="auto"/>
              <w:rPr>
                <w:rFonts w:hint="eastAsia"/>
                <w:color w:val="3A414A"/>
                <w:sz w:val="22"/>
                <w:szCs w:val="22"/>
              </w:rPr>
            </w:pPr>
            <w:r w:rsidRPr="4FDAAD96">
              <w:rPr>
                <w:color w:val="3A414A"/>
                <w:sz w:val="22"/>
                <w:szCs w:val="22"/>
              </w:rPr>
              <w:t>Do you currently have documented standard operating procedures (SOPs) for the process?</w:t>
            </w:r>
            <w:r>
              <w:br/>
            </w:r>
          </w:p>
          <w:p w14:paraId="4D2A9D98" w14:textId="77777777" w:rsidR="001A65E2" w:rsidRDefault="001A65E2" w:rsidP="001A65E2">
            <w:pPr>
              <w:pStyle w:val="ListParagraph"/>
              <w:numPr>
                <w:ilvl w:val="0"/>
                <w:numId w:val="2"/>
              </w:numPr>
              <w:spacing w:line="259" w:lineRule="auto"/>
              <w:rPr>
                <w:rFonts w:hint="eastAsia"/>
                <w:color w:val="3A414A"/>
                <w:sz w:val="22"/>
                <w:szCs w:val="22"/>
              </w:rPr>
            </w:pPr>
            <w:r w:rsidRPr="4FDAAD96">
              <w:rPr>
                <w:color w:val="3A414A"/>
                <w:sz w:val="22"/>
                <w:szCs w:val="22"/>
              </w:rPr>
              <w:t>If yes, please share the documentation.</w:t>
            </w:r>
          </w:p>
        </w:tc>
        <w:tc>
          <w:tcPr>
            <w:tcW w:w="3381" w:type="dxa"/>
          </w:tcPr>
          <w:p w14:paraId="76ECAD6D" w14:textId="6610D0DC" w:rsidR="001A65E2" w:rsidRDefault="001A65E2" w:rsidP="00756821">
            <w:pPr>
              <w:rPr>
                <w:rFonts w:hint="eastAsia"/>
                <w:sz w:val="22"/>
                <w:szCs w:val="22"/>
              </w:rPr>
            </w:pPr>
            <w:r w:rsidRPr="4FDAAD96">
              <w:rPr>
                <w:sz w:val="22"/>
                <w:szCs w:val="22"/>
              </w:rPr>
              <w:t>Standard operating procedures can help us infer what the process map might look like in case there are no process models</w:t>
            </w:r>
            <w:r w:rsidR="006E3720">
              <w:rPr>
                <w:sz w:val="22"/>
                <w:szCs w:val="22"/>
              </w:rPr>
              <w:t xml:space="preserve"> available</w:t>
            </w:r>
            <w:r w:rsidRPr="4FDAAD96">
              <w:rPr>
                <w:sz w:val="22"/>
                <w:szCs w:val="22"/>
              </w:rPr>
              <w:t>. Likewise, we can highlight drift/changes in process that may have occurred during process mining.</w:t>
            </w:r>
          </w:p>
        </w:tc>
        <w:tc>
          <w:tcPr>
            <w:tcW w:w="2844" w:type="dxa"/>
          </w:tcPr>
          <w:p w14:paraId="7DC4C2CD" w14:textId="091333EA" w:rsidR="001A65E2" w:rsidRDefault="001A65E2" w:rsidP="00756821">
            <w:pPr>
              <w:rPr>
                <w:rFonts w:hint="eastAsia"/>
                <w:sz w:val="22"/>
                <w:szCs w:val="22"/>
              </w:rPr>
            </w:pPr>
            <w:r w:rsidRPr="4FDAAD96">
              <w:rPr>
                <w:sz w:val="22"/>
                <w:szCs w:val="22"/>
              </w:rPr>
              <w:t>+1 point:</w:t>
            </w:r>
            <w:r w:rsidR="006E3720">
              <w:rPr>
                <w:sz w:val="22"/>
                <w:szCs w:val="22"/>
              </w:rPr>
              <w:br/>
            </w:r>
            <w:r w:rsidRPr="4FDAAD96">
              <w:rPr>
                <w:sz w:val="22"/>
                <w:szCs w:val="22"/>
              </w:rPr>
              <w:t>SOPs defined</w:t>
            </w:r>
          </w:p>
        </w:tc>
      </w:tr>
      <w:tr w:rsidR="001A65E2" w14:paraId="4A57B645" w14:textId="77777777" w:rsidTr="001A65E2">
        <w:trPr>
          <w:trHeight w:val="300"/>
        </w:trPr>
        <w:tc>
          <w:tcPr>
            <w:tcW w:w="3135" w:type="dxa"/>
          </w:tcPr>
          <w:p w14:paraId="39E65363" w14:textId="77777777" w:rsidR="001A65E2" w:rsidRDefault="001A65E2" w:rsidP="001A65E2">
            <w:pPr>
              <w:pStyle w:val="ListParagraph"/>
              <w:numPr>
                <w:ilvl w:val="0"/>
                <w:numId w:val="3"/>
              </w:numPr>
              <w:spacing w:after="0" w:line="259" w:lineRule="auto"/>
              <w:rPr>
                <w:rFonts w:hint="eastAsia"/>
                <w:color w:val="3A414A"/>
                <w:sz w:val="22"/>
                <w:szCs w:val="22"/>
              </w:rPr>
            </w:pPr>
            <w:r w:rsidRPr="1E8B8FB0">
              <w:rPr>
                <w:color w:val="3A414A"/>
                <w:sz w:val="22"/>
                <w:szCs w:val="22"/>
              </w:rPr>
              <w:t>Do you charge fees to deliver your service? [Y/N]</w:t>
            </w:r>
          </w:p>
        </w:tc>
        <w:tc>
          <w:tcPr>
            <w:tcW w:w="3381" w:type="dxa"/>
          </w:tcPr>
          <w:p w14:paraId="7BC03796" w14:textId="6E8E5106" w:rsidR="001A65E2" w:rsidRDefault="001A65E2" w:rsidP="00756821">
            <w:pPr>
              <w:rPr>
                <w:rFonts w:hint="eastAsia"/>
                <w:sz w:val="22"/>
                <w:szCs w:val="22"/>
              </w:rPr>
            </w:pPr>
            <w:r w:rsidRPr="4FDAAD96">
              <w:rPr>
                <w:sz w:val="22"/>
                <w:szCs w:val="22"/>
              </w:rPr>
              <w:t xml:space="preserve">A service that charges fees will be prioritized higher for process mining as </w:t>
            </w:r>
            <w:r w:rsidR="006E3720">
              <w:rPr>
                <w:sz w:val="22"/>
                <w:szCs w:val="22"/>
              </w:rPr>
              <w:t>it is part of a value stream in the organization</w:t>
            </w:r>
            <w:r w:rsidRPr="4FDAAD96">
              <w:rPr>
                <w:sz w:val="22"/>
                <w:szCs w:val="22"/>
              </w:rPr>
              <w:t>.</w:t>
            </w:r>
          </w:p>
        </w:tc>
        <w:tc>
          <w:tcPr>
            <w:tcW w:w="2844" w:type="dxa"/>
          </w:tcPr>
          <w:p w14:paraId="531AE889" w14:textId="2D024021" w:rsidR="001A65E2" w:rsidRDefault="001A65E2" w:rsidP="00756821">
            <w:pPr>
              <w:rPr>
                <w:rFonts w:hint="eastAsia"/>
                <w:sz w:val="22"/>
                <w:szCs w:val="22"/>
              </w:rPr>
            </w:pPr>
            <w:r w:rsidRPr="4FDAAD96">
              <w:rPr>
                <w:sz w:val="22"/>
                <w:szCs w:val="22"/>
              </w:rPr>
              <w:t>+1 point:</w:t>
            </w:r>
            <w:r w:rsidR="006E3720">
              <w:rPr>
                <w:sz w:val="22"/>
                <w:szCs w:val="22"/>
              </w:rPr>
              <w:br/>
            </w:r>
            <w:r w:rsidRPr="4FDAAD96">
              <w:rPr>
                <w:sz w:val="22"/>
                <w:szCs w:val="22"/>
              </w:rPr>
              <w:t>Revenue generating service</w:t>
            </w:r>
            <w:commentRangeStart w:id="1"/>
            <w:commentRangeStart w:id="2"/>
            <w:commentRangeEnd w:id="1"/>
            <w:r>
              <w:commentReference w:id="1"/>
            </w:r>
            <w:commentRangeEnd w:id="2"/>
            <w:r>
              <w:commentReference w:id="2"/>
            </w:r>
          </w:p>
        </w:tc>
      </w:tr>
      <w:tr w:rsidR="001A65E2" w14:paraId="56F03295" w14:textId="77777777" w:rsidTr="001A65E2">
        <w:trPr>
          <w:trHeight w:val="300"/>
        </w:trPr>
        <w:tc>
          <w:tcPr>
            <w:tcW w:w="3135" w:type="dxa"/>
          </w:tcPr>
          <w:p w14:paraId="50C0CBE1" w14:textId="03C0475B" w:rsidR="001A65E2" w:rsidRPr="006E3720" w:rsidRDefault="001A65E2" w:rsidP="006E3720">
            <w:pPr>
              <w:pStyle w:val="ListParagraph"/>
              <w:numPr>
                <w:ilvl w:val="0"/>
                <w:numId w:val="3"/>
              </w:numPr>
              <w:spacing w:after="0" w:line="259" w:lineRule="auto"/>
              <w:rPr>
                <w:rFonts w:hint="eastAsia"/>
                <w:color w:val="3A414A"/>
                <w:sz w:val="22"/>
                <w:szCs w:val="22"/>
              </w:rPr>
            </w:pPr>
            <w:r w:rsidRPr="4FDAAD96">
              <w:rPr>
                <w:color w:val="3A414A"/>
                <w:sz w:val="22"/>
                <w:szCs w:val="22"/>
              </w:rPr>
              <w:t xml:space="preserve">Is your service </w:t>
            </w:r>
            <w:r w:rsidR="006E3720">
              <w:rPr>
                <w:color w:val="3A414A"/>
                <w:sz w:val="22"/>
                <w:szCs w:val="22"/>
              </w:rPr>
              <w:t>customer</w:t>
            </w:r>
            <w:r w:rsidRPr="4FDAAD96">
              <w:rPr>
                <w:color w:val="3A414A"/>
                <w:sz w:val="22"/>
                <w:szCs w:val="22"/>
              </w:rPr>
              <w:t>-facing (delivering to Canadian Citizens or Businesses) or internal? [Y/N]</w:t>
            </w:r>
          </w:p>
        </w:tc>
        <w:tc>
          <w:tcPr>
            <w:tcW w:w="3381" w:type="dxa"/>
          </w:tcPr>
          <w:p w14:paraId="0F5A5DEB" w14:textId="4D9F303F" w:rsidR="001A65E2" w:rsidRDefault="006E3720" w:rsidP="00756821">
            <w:pPr>
              <w:rPr>
                <w:rFonts w:hint="eastAsia"/>
                <w:sz w:val="22"/>
                <w:szCs w:val="22"/>
              </w:rPr>
            </w:pPr>
            <w:r>
              <w:rPr>
                <w:sz w:val="22"/>
                <w:szCs w:val="22"/>
              </w:rPr>
              <w:t>Customer</w:t>
            </w:r>
            <w:r w:rsidR="001A65E2" w:rsidRPr="4FDAAD96">
              <w:rPr>
                <w:sz w:val="22"/>
                <w:szCs w:val="22"/>
              </w:rPr>
              <w:t>-facing services are often ranked higher in terms of priority than internal ones</w:t>
            </w:r>
            <w:r>
              <w:rPr>
                <w:sz w:val="22"/>
                <w:szCs w:val="22"/>
              </w:rPr>
              <w:t xml:space="preserve"> due to their ability to impact the customer experience positively/negatively.</w:t>
            </w:r>
          </w:p>
        </w:tc>
        <w:tc>
          <w:tcPr>
            <w:tcW w:w="2844" w:type="dxa"/>
          </w:tcPr>
          <w:p w14:paraId="409CB59E" w14:textId="78C2BAE1" w:rsidR="001A65E2" w:rsidRDefault="001A65E2" w:rsidP="00756821">
            <w:pPr>
              <w:rPr>
                <w:rFonts w:hint="eastAsia"/>
                <w:sz w:val="22"/>
                <w:szCs w:val="22"/>
              </w:rPr>
            </w:pPr>
            <w:r w:rsidRPr="4FDAAD96">
              <w:rPr>
                <w:sz w:val="22"/>
                <w:szCs w:val="22"/>
              </w:rPr>
              <w:t>+</w:t>
            </w:r>
            <w:r w:rsidR="006E3720">
              <w:rPr>
                <w:sz w:val="22"/>
                <w:szCs w:val="22"/>
              </w:rPr>
              <w:t>1</w:t>
            </w:r>
            <w:r w:rsidRPr="4FDAAD96">
              <w:rPr>
                <w:sz w:val="22"/>
                <w:szCs w:val="22"/>
              </w:rPr>
              <w:t xml:space="preserve"> point:</w:t>
            </w:r>
            <w:r w:rsidR="006E3720">
              <w:rPr>
                <w:sz w:val="22"/>
                <w:szCs w:val="22"/>
              </w:rPr>
              <w:br/>
            </w:r>
            <w:r w:rsidRPr="4FDAAD96">
              <w:rPr>
                <w:sz w:val="22"/>
                <w:szCs w:val="22"/>
              </w:rPr>
              <w:t>Public-facing service</w:t>
            </w:r>
          </w:p>
        </w:tc>
      </w:tr>
      <w:tr w:rsidR="001A65E2" w14:paraId="1545794F" w14:textId="77777777" w:rsidTr="001A65E2">
        <w:trPr>
          <w:trHeight w:val="300"/>
        </w:trPr>
        <w:tc>
          <w:tcPr>
            <w:tcW w:w="3135" w:type="dxa"/>
          </w:tcPr>
          <w:p w14:paraId="57D16335" w14:textId="43A507D9" w:rsidR="001A65E2" w:rsidRDefault="001A65E2" w:rsidP="001A65E2">
            <w:pPr>
              <w:pStyle w:val="ListParagraph"/>
              <w:numPr>
                <w:ilvl w:val="0"/>
                <w:numId w:val="3"/>
              </w:numPr>
              <w:spacing w:after="0" w:line="259" w:lineRule="auto"/>
              <w:rPr>
                <w:rFonts w:hint="eastAsia"/>
                <w:color w:val="3A414A"/>
                <w:sz w:val="22"/>
                <w:szCs w:val="22"/>
              </w:rPr>
            </w:pPr>
            <w:r w:rsidRPr="1E8B8FB0">
              <w:rPr>
                <w:color w:val="3A414A"/>
                <w:sz w:val="22"/>
                <w:szCs w:val="22"/>
              </w:rPr>
              <w:t xml:space="preserve">Can you identify any known issues </w:t>
            </w:r>
            <w:r w:rsidR="00A23582">
              <w:rPr>
                <w:color w:val="3A414A"/>
                <w:sz w:val="22"/>
                <w:szCs w:val="22"/>
              </w:rPr>
              <w:t>or</w:t>
            </w:r>
            <w:r w:rsidRPr="1E8B8FB0">
              <w:rPr>
                <w:color w:val="3A414A"/>
                <w:sz w:val="22"/>
                <w:szCs w:val="22"/>
              </w:rPr>
              <w:t xml:space="preserve"> gaps in the process at this time?</w:t>
            </w:r>
          </w:p>
          <w:p w14:paraId="16D7C35F" w14:textId="77777777" w:rsidR="001A65E2" w:rsidRDefault="001A65E2" w:rsidP="00756821">
            <w:pPr>
              <w:pStyle w:val="ListParagraph"/>
              <w:spacing w:line="259" w:lineRule="auto"/>
              <w:rPr>
                <w:rFonts w:hint="eastAsia"/>
                <w:color w:val="3A414A"/>
                <w:sz w:val="22"/>
                <w:szCs w:val="22"/>
              </w:rPr>
            </w:pPr>
          </w:p>
          <w:p w14:paraId="6E6EC231" w14:textId="77777777" w:rsidR="001A65E2" w:rsidRDefault="001A65E2" w:rsidP="00756821">
            <w:pPr>
              <w:pStyle w:val="ListParagraph"/>
              <w:spacing w:line="259" w:lineRule="auto"/>
              <w:rPr>
                <w:rFonts w:hint="eastAsia"/>
                <w:color w:val="3A414A"/>
                <w:sz w:val="22"/>
                <w:szCs w:val="22"/>
              </w:rPr>
            </w:pPr>
          </w:p>
        </w:tc>
        <w:tc>
          <w:tcPr>
            <w:tcW w:w="3381" w:type="dxa"/>
          </w:tcPr>
          <w:p w14:paraId="2A1CB1DC" w14:textId="59838519" w:rsidR="001A65E2" w:rsidRDefault="001A65E2" w:rsidP="00756821">
            <w:pPr>
              <w:rPr>
                <w:rFonts w:hint="eastAsia"/>
                <w:sz w:val="22"/>
                <w:szCs w:val="22"/>
              </w:rPr>
            </w:pPr>
            <w:r w:rsidRPr="4FDAAD96">
              <w:rPr>
                <w:sz w:val="22"/>
                <w:szCs w:val="22"/>
              </w:rPr>
              <w:t>Gaps could include parts of a process performed manually</w:t>
            </w:r>
            <w:r w:rsidR="00A23582">
              <w:rPr>
                <w:sz w:val="22"/>
                <w:szCs w:val="22"/>
              </w:rPr>
              <w:t xml:space="preserve"> (outside of a system)</w:t>
            </w:r>
            <w:r w:rsidRPr="4FDAAD96">
              <w:rPr>
                <w:sz w:val="22"/>
                <w:szCs w:val="22"/>
              </w:rPr>
              <w:t xml:space="preserve"> that aren’t recorded electronically, or that were added later that don’t fit neatly into the current process model.</w:t>
            </w:r>
          </w:p>
        </w:tc>
        <w:tc>
          <w:tcPr>
            <w:tcW w:w="2844" w:type="dxa"/>
          </w:tcPr>
          <w:p w14:paraId="29E019AB" w14:textId="456FAEA2" w:rsidR="00A23582" w:rsidRDefault="00A23582" w:rsidP="00756821">
            <w:pPr>
              <w:rPr>
                <w:rFonts w:hint="eastAsia"/>
                <w:sz w:val="22"/>
                <w:szCs w:val="22"/>
              </w:rPr>
            </w:pPr>
            <w:r>
              <w:rPr>
                <w:sz w:val="22"/>
                <w:szCs w:val="22"/>
              </w:rPr>
              <w:t>+1 point:</w:t>
            </w:r>
            <w:r>
              <w:rPr>
                <w:sz w:val="22"/>
                <w:szCs w:val="22"/>
              </w:rPr>
              <w:br/>
              <w:t>No manual actions</w:t>
            </w:r>
            <w:r w:rsidR="00982EE1">
              <w:rPr>
                <w:sz w:val="22"/>
                <w:szCs w:val="22"/>
              </w:rPr>
              <w:t xml:space="preserve"> or </w:t>
            </w:r>
            <w:r>
              <w:rPr>
                <w:sz w:val="22"/>
                <w:szCs w:val="22"/>
              </w:rPr>
              <w:t xml:space="preserve">interventions performed outside of core system </w:t>
            </w:r>
            <w:r w:rsidR="00982EE1">
              <w:rPr>
                <w:sz w:val="22"/>
                <w:szCs w:val="22"/>
              </w:rPr>
              <w:t>to support the</w:t>
            </w:r>
            <w:r>
              <w:rPr>
                <w:sz w:val="22"/>
                <w:szCs w:val="22"/>
              </w:rPr>
              <w:t xml:space="preserve"> process</w:t>
            </w:r>
            <w:r w:rsidR="00982EE1">
              <w:rPr>
                <w:sz w:val="22"/>
                <w:szCs w:val="22"/>
              </w:rPr>
              <w:t>.</w:t>
            </w:r>
          </w:p>
        </w:tc>
      </w:tr>
      <w:tr w:rsidR="001A65E2" w14:paraId="460C4E6B" w14:textId="77777777" w:rsidTr="001A65E2">
        <w:trPr>
          <w:trHeight w:val="300"/>
        </w:trPr>
        <w:tc>
          <w:tcPr>
            <w:tcW w:w="3135" w:type="dxa"/>
          </w:tcPr>
          <w:p w14:paraId="254B8A6B" w14:textId="77777777" w:rsidR="001A65E2" w:rsidRDefault="001A65E2" w:rsidP="001A65E2">
            <w:pPr>
              <w:pStyle w:val="ListParagraph"/>
              <w:numPr>
                <w:ilvl w:val="0"/>
                <w:numId w:val="3"/>
              </w:numPr>
              <w:spacing w:after="0" w:line="259" w:lineRule="auto"/>
              <w:rPr>
                <w:rFonts w:hint="eastAsia"/>
                <w:color w:val="3A414A"/>
                <w:sz w:val="22"/>
                <w:szCs w:val="22"/>
              </w:rPr>
            </w:pPr>
            <w:r w:rsidRPr="4FDAAD96">
              <w:rPr>
                <w:i/>
                <w:iCs/>
                <w:color w:val="3A414A"/>
                <w:sz w:val="22"/>
                <w:szCs w:val="22"/>
              </w:rPr>
              <w:t>(If you know)</w:t>
            </w:r>
            <w:r w:rsidRPr="4FDAAD96">
              <w:rPr>
                <w:color w:val="3A414A"/>
                <w:sz w:val="22"/>
                <w:szCs w:val="22"/>
              </w:rPr>
              <w:t xml:space="preserve"> What is the estimated annual volume of transactions to deliver the service?</w:t>
            </w:r>
          </w:p>
          <w:p w14:paraId="5E09DF9E" w14:textId="77777777" w:rsidR="001A65E2" w:rsidRDefault="001A65E2" w:rsidP="00756821">
            <w:pPr>
              <w:pStyle w:val="ListParagraph"/>
              <w:spacing w:line="259" w:lineRule="auto"/>
              <w:rPr>
                <w:rFonts w:hint="eastAsia"/>
                <w:color w:val="3A414A"/>
                <w:sz w:val="22"/>
                <w:szCs w:val="22"/>
              </w:rPr>
            </w:pPr>
          </w:p>
          <w:p w14:paraId="3BD4ABCE" w14:textId="77777777" w:rsidR="001A65E2" w:rsidRDefault="001A65E2" w:rsidP="00756821">
            <w:pPr>
              <w:pStyle w:val="ListParagraph"/>
              <w:spacing w:line="259" w:lineRule="auto"/>
              <w:rPr>
                <w:rFonts w:hint="eastAsia"/>
                <w:color w:val="3A414A"/>
                <w:sz w:val="22"/>
                <w:szCs w:val="22"/>
              </w:rPr>
            </w:pPr>
          </w:p>
        </w:tc>
        <w:tc>
          <w:tcPr>
            <w:tcW w:w="3381" w:type="dxa"/>
          </w:tcPr>
          <w:p w14:paraId="68CFDDE4" w14:textId="77777777" w:rsidR="001A65E2" w:rsidRDefault="001A65E2" w:rsidP="00756821">
            <w:pPr>
              <w:rPr>
                <w:rFonts w:hint="eastAsia"/>
                <w:sz w:val="22"/>
                <w:szCs w:val="22"/>
              </w:rPr>
            </w:pPr>
            <w:r w:rsidRPr="4FDAAD96">
              <w:rPr>
                <w:sz w:val="22"/>
                <w:szCs w:val="22"/>
              </w:rPr>
              <w:lastRenderedPageBreak/>
              <w:t xml:space="preserve">Volumetrics help determine whether there will be a return on investment from process mining. </w:t>
            </w:r>
          </w:p>
        </w:tc>
        <w:tc>
          <w:tcPr>
            <w:tcW w:w="2844" w:type="dxa"/>
          </w:tcPr>
          <w:p w14:paraId="3D306957" w14:textId="4A1705D9" w:rsidR="00A23582" w:rsidRPr="00982EE1" w:rsidRDefault="00A23582" w:rsidP="00756821">
            <w:pPr>
              <w:rPr>
                <w:b/>
                <w:bCs/>
                <w:sz w:val="22"/>
                <w:szCs w:val="22"/>
              </w:rPr>
            </w:pPr>
            <w:r w:rsidRPr="00982EE1">
              <w:rPr>
                <w:b/>
                <w:bCs/>
                <w:sz w:val="22"/>
                <w:szCs w:val="22"/>
              </w:rPr>
              <w:t xml:space="preserve">Note: small/med/large is relative to </w:t>
            </w:r>
            <w:r w:rsidR="00982EE1" w:rsidRPr="00982EE1">
              <w:rPr>
                <w:b/>
                <w:bCs/>
                <w:sz w:val="22"/>
                <w:szCs w:val="22"/>
              </w:rPr>
              <w:t>the</w:t>
            </w:r>
            <w:r w:rsidRPr="00982EE1">
              <w:rPr>
                <w:b/>
                <w:bCs/>
                <w:sz w:val="22"/>
                <w:szCs w:val="22"/>
              </w:rPr>
              <w:t xml:space="preserve"> organization.</w:t>
            </w:r>
          </w:p>
          <w:p w14:paraId="34109ACF" w14:textId="046661D0" w:rsidR="001A65E2" w:rsidRDefault="001A65E2" w:rsidP="00756821">
            <w:pPr>
              <w:rPr>
                <w:rFonts w:hint="eastAsia"/>
                <w:sz w:val="22"/>
                <w:szCs w:val="22"/>
              </w:rPr>
            </w:pPr>
            <w:r w:rsidRPr="4FDAAD96">
              <w:rPr>
                <w:sz w:val="22"/>
                <w:szCs w:val="22"/>
              </w:rPr>
              <w:t>+3 points:</w:t>
            </w:r>
            <w:r w:rsidR="00A23582">
              <w:rPr>
                <w:sz w:val="22"/>
                <w:szCs w:val="22"/>
              </w:rPr>
              <w:br/>
            </w:r>
            <w:r w:rsidRPr="4FDAAD96">
              <w:rPr>
                <w:sz w:val="22"/>
                <w:szCs w:val="22"/>
              </w:rPr>
              <w:t xml:space="preserve">Large volume of </w:t>
            </w:r>
            <w:proofErr w:type="spellStart"/>
            <w:r w:rsidRPr="4FDAAD96">
              <w:rPr>
                <w:sz w:val="22"/>
                <w:szCs w:val="22"/>
              </w:rPr>
              <w:t>tx</w:t>
            </w:r>
            <w:proofErr w:type="spellEnd"/>
            <w:r w:rsidRPr="4FDAAD96">
              <w:rPr>
                <w:sz w:val="22"/>
                <w:szCs w:val="22"/>
              </w:rPr>
              <w:t xml:space="preserve"> per year</w:t>
            </w:r>
          </w:p>
          <w:p w14:paraId="17F6F50A" w14:textId="6670F385" w:rsidR="001A65E2" w:rsidRDefault="001A65E2" w:rsidP="00756821">
            <w:pPr>
              <w:rPr>
                <w:rFonts w:hint="eastAsia"/>
                <w:sz w:val="22"/>
                <w:szCs w:val="22"/>
              </w:rPr>
            </w:pPr>
            <w:r w:rsidRPr="4FDAAD96">
              <w:rPr>
                <w:sz w:val="22"/>
                <w:szCs w:val="22"/>
              </w:rPr>
              <w:lastRenderedPageBreak/>
              <w:t>+2 points:</w:t>
            </w:r>
            <w:r w:rsidR="00A23582">
              <w:rPr>
                <w:sz w:val="22"/>
                <w:szCs w:val="22"/>
              </w:rPr>
              <w:br/>
            </w:r>
            <w:r w:rsidRPr="4FDAAD96">
              <w:rPr>
                <w:sz w:val="22"/>
                <w:szCs w:val="22"/>
              </w:rPr>
              <w:t>Medium volume</w:t>
            </w:r>
            <w:r w:rsidR="00A23582">
              <w:rPr>
                <w:sz w:val="22"/>
                <w:szCs w:val="22"/>
              </w:rPr>
              <w:t xml:space="preserve"> </w:t>
            </w:r>
            <w:proofErr w:type="spellStart"/>
            <w:r w:rsidR="00A23582">
              <w:rPr>
                <w:sz w:val="22"/>
                <w:szCs w:val="22"/>
              </w:rPr>
              <w:t>tx</w:t>
            </w:r>
            <w:proofErr w:type="spellEnd"/>
            <w:r w:rsidRPr="4FDAAD96">
              <w:rPr>
                <w:sz w:val="22"/>
                <w:szCs w:val="22"/>
              </w:rPr>
              <w:t xml:space="preserve"> per year</w:t>
            </w:r>
          </w:p>
          <w:p w14:paraId="4BDBB06E" w14:textId="78F7BFE4" w:rsidR="001A65E2" w:rsidRDefault="001A65E2" w:rsidP="00A23582">
            <w:pPr>
              <w:rPr>
                <w:rFonts w:hint="eastAsia"/>
                <w:sz w:val="22"/>
                <w:szCs w:val="22"/>
              </w:rPr>
            </w:pPr>
            <w:r w:rsidRPr="4FDAAD96">
              <w:rPr>
                <w:sz w:val="22"/>
                <w:szCs w:val="22"/>
              </w:rPr>
              <w:t>+1 point:</w:t>
            </w:r>
            <w:r w:rsidR="00A23582">
              <w:rPr>
                <w:sz w:val="22"/>
                <w:szCs w:val="22"/>
              </w:rPr>
              <w:br/>
            </w:r>
            <w:r w:rsidRPr="4FDAAD96">
              <w:rPr>
                <w:sz w:val="22"/>
                <w:szCs w:val="22"/>
              </w:rPr>
              <w:t xml:space="preserve">Small volume of </w:t>
            </w:r>
            <w:proofErr w:type="spellStart"/>
            <w:r w:rsidRPr="4FDAAD96">
              <w:rPr>
                <w:sz w:val="22"/>
                <w:szCs w:val="22"/>
              </w:rPr>
              <w:t>tx</w:t>
            </w:r>
            <w:proofErr w:type="spellEnd"/>
            <w:r w:rsidRPr="4FDAAD96">
              <w:rPr>
                <w:sz w:val="22"/>
                <w:szCs w:val="22"/>
              </w:rPr>
              <w:t xml:space="preserve"> per year</w:t>
            </w:r>
          </w:p>
        </w:tc>
      </w:tr>
      <w:tr w:rsidR="001A65E2" w14:paraId="658FBB07" w14:textId="77777777" w:rsidTr="001A65E2">
        <w:trPr>
          <w:trHeight w:val="300"/>
        </w:trPr>
        <w:tc>
          <w:tcPr>
            <w:tcW w:w="3135" w:type="dxa"/>
          </w:tcPr>
          <w:p w14:paraId="61292C45" w14:textId="77777777" w:rsidR="001A65E2" w:rsidRDefault="001A65E2" w:rsidP="001A65E2">
            <w:pPr>
              <w:pStyle w:val="ListParagraph"/>
              <w:numPr>
                <w:ilvl w:val="0"/>
                <w:numId w:val="3"/>
              </w:numPr>
              <w:spacing w:after="0" w:line="259" w:lineRule="auto"/>
              <w:rPr>
                <w:rFonts w:hint="eastAsia"/>
                <w:color w:val="3A414A"/>
                <w:sz w:val="22"/>
                <w:szCs w:val="22"/>
              </w:rPr>
            </w:pPr>
            <w:r w:rsidRPr="4FDAAD96">
              <w:rPr>
                <w:i/>
                <w:iCs/>
                <w:color w:val="3A414A"/>
                <w:sz w:val="22"/>
                <w:szCs w:val="22"/>
              </w:rPr>
              <w:lastRenderedPageBreak/>
              <w:t>(If you know)</w:t>
            </w:r>
            <w:r w:rsidRPr="4FDAAD96">
              <w:rPr>
                <w:color w:val="3A414A"/>
                <w:sz w:val="22"/>
                <w:szCs w:val="22"/>
              </w:rPr>
              <w:t xml:space="preserve"> What is the estimated annual revenue?</w:t>
            </w:r>
          </w:p>
          <w:p w14:paraId="03944543" w14:textId="77777777" w:rsidR="001A65E2" w:rsidRDefault="001A65E2" w:rsidP="00756821">
            <w:pPr>
              <w:pStyle w:val="ListParagraph"/>
              <w:spacing w:line="259" w:lineRule="auto"/>
              <w:rPr>
                <w:rFonts w:hint="eastAsia"/>
                <w:i/>
                <w:iCs/>
                <w:color w:val="3A414A"/>
                <w:sz w:val="22"/>
                <w:szCs w:val="22"/>
              </w:rPr>
            </w:pPr>
          </w:p>
          <w:p w14:paraId="6A31C7EC" w14:textId="77777777" w:rsidR="001A65E2" w:rsidRDefault="001A65E2" w:rsidP="00756821">
            <w:pPr>
              <w:spacing w:line="259" w:lineRule="auto"/>
              <w:ind w:left="720"/>
              <w:rPr>
                <w:rFonts w:hint="eastAsia"/>
                <w:i/>
                <w:iCs/>
                <w:color w:val="3A414A"/>
                <w:sz w:val="22"/>
                <w:szCs w:val="22"/>
              </w:rPr>
            </w:pPr>
          </w:p>
        </w:tc>
        <w:tc>
          <w:tcPr>
            <w:tcW w:w="3381" w:type="dxa"/>
          </w:tcPr>
          <w:p w14:paraId="12CF8580" w14:textId="52B9D23E" w:rsidR="001A65E2" w:rsidRDefault="001A65E2" w:rsidP="00756821">
            <w:pPr>
              <w:rPr>
                <w:rFonts w:hint="eastAsia"/>
                <w:sz w:val="22"/>
                <w:szCs w:val="22"/>
              </w:rPr>
            </w:pPr>
            <w:r w:rsidRPr="4FDAAD96">
              <w:rPr>
                <w:sz w:val="22"/>
                <w:szCs w:val="22"/>
              </w:rPr>
              <w:t xml:space="preserve">Revenue helps </w:t>
            </w:r>
            <w:r w:rsidR="00982EE1">
              <w:rPr>
                <w:sz w:val="22"/>
                <w:szCs w:val="22"/>
              </w:rPr>
              <w:t>with calculating and ensuring a ROI for process mining.</w:t>
            </w:r>
          </w:p>
        </w:tc>
        <w:tc>
          <w:tcPr>
            <w:tcW w:w="2844" w:type="dxa"/>
          </w:tcPr>
          <w:p w14:paraId="3E412E08" w14:textId="77777777" w:rsidR="001A65E2" w:rsidRDefault="001A65E2" w:rsidP="00756821">
            <w:pPr>
              <w:rPr>
                <w:rFonts w:hint="eastAsia"/>
                <w:sz w:val="22"/>
                <w:szCs w:val="22"/>
              </w:rPr>
            </w:pPr>
          </w:p>
        </w:tc>
      </w:tr>
      <w:tr w:rsidR="001A65E2" w14:paraId="40F9ECFD" w14:textId="77777777" w:rsidTr="001A65E2">
        <w:trPr>
          <w:trHeight w:val="300"/>
        </w:trPr>
        <w:tc>
          <w:tcPr>
            <w:tcW w:w="3135" w:type="dxa"/>
          </w:tcPr>
          <w:p w14:paraId="5606D861" w14:textId="34369AC2" w:rsidR="001A65E2" w:rsidRDefault="001A65E2" w:rsidP="001A65E2">
            <w:pPr>
              <w:pStyle w:val="ListParagraph"/>
              <w:numPr>
                <w:ilvl w:val="0"/>
                <w:numId w:val="3"/>
              </w:numPr>
              <w:spacing w:after="0" w:line="259" w:lineRule="auto"/>
              <w:rPr>
                <w:rFonts w:hint="eastAsia"/>
                <w:color w:val="3A414A"/>
                <w:sz w:val="22"/>
                <w:szCs w:val="22"/>
              </w:rPr>
            </w:pPr>
            <w:r w:rsidRPr="4FDAAD96">
              <w:rPr>
                <w:color w:val="3A414A"/>
                <w:sz w:val="22"/>
                <w:szCs w:val="22"/>
              </w:rPr>
              <w:t>Are there any upcoming upgrades to the system</w:t>
            </w:r>
            <w:r w:rsidR="00982EE1">
              <w:rPr>
                <w:color w:val="3A414A"/>
                <w:sz w:val="22"/>
                <w:szCs w:val="22"/>
              </w:rPr>
              <w:t xml:space="preserve"> supporting the process</w:t>
            </w:r>
            <w:r w:rsidRPr="4FDAAD96">
              <w:rPr>
                <w:color w:val="3A414A"/>
                <w:sz w:val="22"/>
                <w:szCs w:val="22"/>
              </w:rPr>
              <w:t>? If yes, please share any details.</w:t>
            </w:r>
          </w:p>
          <w:p w14:paraId="5FA7DD19" w14:textId="77777777" w:rsidR="001A65E2" w:rsidRDefault="001A65E2" w:rsidP="00756821">
            <w:pPr>
              <w:pStyle w:val="ListParagraph"/>
              <w:spacing w:line="259" w:lineRule="auto"/>
              <w:rPr>
                <w:rFonts w:hint="eastAsia"/>
                <w:i/>
                <w:iCs/>
                <w:color w:val="3A414A"/>
                <w:sz w:val="22"/>
                <w:szCs w:val="22"/>
              </w:rPr>
            </w:pPr>
          </w:p>
          <w:p w14:paraId="45D9FC72" w14:textId="77777777" w:rsidR="001A65E2" w:rsidRDefault="001A65E2" w:rsidP="00756821">
            <w:pPr>
              <w:pStyle w:val="ListParagraph"/>
              <w:spacing w:line="259" w:lineRule="auto"/>
              <w:rPr>
                <w:rFonts w:hint="eastAsia"/>
                <w:i/>
                <w:iCs/>
                <w:color w:val="3A414A"/>
                <w:sz w:val="22"/>
                <w:szCs w:val="22"/>
              </w:rPr>
            </w:pPr>
          </w:p>
        </w:tc>
        <w:tc>
          <w:tcPr>
            <w:tcW w:w="3381" w:type="dxa"/>
          </w:tcPr>
          <w:p w14:paraId="56B67EA0" w14:textId="200FE965" w:rsidR="001A65E2" w:rsidRDefault="001A65E2" w:rsidP="00756821">
            <w:pPr>
              <w:rPr>
                <w:rFonts w:hint="eastAsia"/>
                <w:sz w:val="22"/>
                <w:szCs w:val="22"/>
              </w:rPr>
            </w:pPr>
            <w:r w:rsidRPr="4FDAAD96">
              <w:rPr>
                <w:sz w:val="22"/>
                <w:szCs w:val="22"/>
              </w:rPr>
              <w:t xml:space="preserve">Changes or upgrades to a system </w:t>
            </w:r>
            <w:r w:rsidR="00982EE1">
              <w:rPr>
                <w:sz w:val="22"/>
                <w:szCs w:val="22"/>
              </w:rPr>
              <w:t xml:space="preserve">that supports a process or service </w:t>
            </w:r>
            <w:r w:rsidRPr="4FDAAD96">
              <w:rPr>
                <w:sz w:val="22"/>
                <w:szCs w:val="22"/>
              </w:rPr>
              <w:t>may lead to process model changes (drift), which may make process mining difficult. Data structure and schema may also change.</w:t>
            </w:r>
          </w:p>
        </w:tc>
        <w:tc>
          <w:tcPr>
            <w:tcW w:w="2844" w:type="dxa"/>
          </w:tcPr>
          <w:p w14:paraId="32249877" w14:textId="0C56255B" w:rsidR="001A65E2" w:rsidRDefault="001A65E2" w:rsidP="00756821">
            <w:pPr>
              <w:rPr>
                <w:rFonts w:hint="eastAsia"/>
                <w:sz w:val="22"/>
                <w:szCs w:val="22"/>
              </w:rPr>
            </w:pPr>
            <w:r w:rsidRPr="4FDAAD96">
              <w:rPr>
                <w:sz w:val="22"/>
                <w:szCs w:val="22"/>
              </w:rPr>
              <w:t>If yes</w:t>
            </w:r>
            <w:r w:rsidR="00982EE1">
              <w:rPr>
                <w:sz w:val="22"/>
                <w:szCs w:val="22"/>
              </w:rPr>
              <w:t>,</w:t>
            </w:r>
            <w:r w:rsidRPr="4FDAAD96">
              <w:rPr>
                <w:sz w:val="22"/>
                <w:szCs w:val="22"/>
              </w:rPr>
              <w:t xml:space="preserve"> park until</w:t>
            </w:r>
            <w:r w:rsidR="00982EE1">
              <w:rPr>
                <w:sz w:val="22"/>
                <w:szCs w:val="22"/>
              </w:rPr>
              <w:t xml:space="preserve"> the</w:t>
            </w:r>
            <w:r w:rsidRPr="4FDAAD96">
              <w:rPr>
                <w:sz w:val="22"/>
                <w:szCs w:val="22"/>
              </w:rPr>
              <w:t xml:space="preserve"> process is stable or consider mining past data to inform future</w:t>
            </w:r>
            <w:r w:rsidR="00982EE1">
              <w:rPr>
                <w:sz w:val="22"/>
                <w:szCs w:val="22"/>
              </w:rPr>
              <w:t xml:space="preserve"> transformations</w:t>
            </w:r>
            <w:r w:rsidRPr="4FDAAD96">
              <w:rPr>
                <w:sz w:val="22"/>
                <w:szCs w:val="22"/>
              </w:rPr>
              <w:t>.</w:t>
            </w:r>
          </w:p>
        </w:tc>
      </w:tr>
    </w:tbl>
    <w:p w14:paraId="6FBA8534" w14:textId="0553840F" w:rsidR="001A65E2" w:rsidRDefault="001A65E2" w:rsidP="001A65E2">
      <w:pPr>
        <w:spacing w:line="259" w:lineRule="auto"/>
        <w:rPr>
          <w:sz w:val="22"/>
          <w:szCs w:val="22"/>
        </w:rPr>
      </w:pPr>
    </w:p>
    <w:p w14:paraId="7BAA9718" w14:textId="65D87E3F" w:rsidR="00734A86" w:rsidRDefault="00734A86" w:rsidP="00734A86">
      <w:pPr>
        <w:spacing w:line="259" w:lineRule="auto"/>
        <w:rPr>
          <w:sz w:val="22"/>
          <w:szCs w:val="22"/>
        </w:rPr>
      </w:pPr>
      <w:r w:rsidRPr="1E8B8FB0">
        <w:rPr>
          <w:sz w:val="22"/>
          <w:szCs w:val="22"/>
        </w:rPr>
        <w:t>For each of the service/</w:t>
      </w:r>
      <w:r w:rsidRPr="1E8B8FB0">
        <w:rPr>
          <w:sz w:val="22"/>
          <w:szCs w:val="22"/>
        </w:rPr>
        <w:t>process</w:t>
      </w:r>
      <w:r>
        <w:rPr>
          <w:sz w:val="22"/>
          <w:szCs w:val="22"/>
        </w:rPr>
        <w:t xml:space="preserve"> owners </w:t>
      </w:r>
      <w:r w:rsidRPr="1E8B8FB0">
        <w:rPr>
          <w:sz w:val="22"/>
          <w:szCs w:val="22"/>
        </w:rPr>
        <w:t xml:space="preserve">that have answered this questionnaire, add up the scores. </w:t>
      </w:r>
      <w:r>
        <w:rPr>
          <w:sz w:val="22"/>
          <w:szCs w:val="22"/>
        </w:rPr>
        <w:t>Note some service/process owners may own multiple business or product lines. This form should be filled out for each individual process or service.</w:t>
      </w:r>
    </w:p>
    <w:p w14:paraId="6FFDEE44" w14:textId="40A285CF" w:rsidR="00734A86" w:rsidRDefault="00734A86" w:rsidP="001A65E2">
      <w:pPr>
        <w:spacing w:line="259" w:lineRule="auto"/>
        <w:rPr>
          <w:sz w:val="22"/>
          <w:szCs w:val="22"/>
        </w:rPr>
      </w:pPr>
      <w:r>
        <w:rPr>
          <w:sz w:val="22"/>
          <w:szCs w:val="22"/>
        </w:rPr>
        <w:t>The processes or</w:t>
      </w:r>
      <w:r w:rsidRPr="1E8B8FB0">
        <w:rPr>
          <w:sz w:val="22"/>
          <w:szCs w:val="22"/>
        </w:rPr>
        <w:t xml:space="preserve"> </w:t>
      </w:r>
      <w:r>
        <w:rPr>
          <w:sz w:val="22"/>
          <w:szCs w:val="22"/>
        </w:rPr>
        <w:t xml:space="preserve">services </w:t>
      </w:r>
      <w:r w:rsidRPr="1E8B8FB0">
        <w:rPr>
          <w:sz w:val="22"/>
          <w:szCs w:val="22"/>
        </w:rPr>
        <w:t xml:space="preserve">with the highest scores show the highest potential for Process Mining. Those with </w:t>
      </w:r>
      <w:r>
        <w:rPr>
          <w:sz w:val="22"/>
          <w:szCs w:val="22"/>
        </w:rPr>
        <w:t>lower</w:t>
      </w:r>
      <w:r w:rsidRPr="1E8B8FB0">
        <w:rPr>
          <w:sz w:val="22"/>
          <w:szCs w:val="22"/>
        </w:rPr>
        <w:t xml:space="preserve"> scores may still </w:t>
      </w:r>
      <w:r>
        <w:rPr>
          <w:sz w:val="22"/>
          <w:szCs w:val="22"/>
        </w:rPr>
        <w:t>qualify but should not be pursued first. Work towards further evaluating the processes that score the highest on this list by using the subsequent process evaluation questionnaire and meeting with the process/service owner.</w:t>
      </w:r>
    </w:p>
    <w:p w14:paraId="71A941F0" w14:textId="336EE70C" w:rsidR="00734A86" w:rsidRDefault="00734A86" w:rsidP="001A65E2">
      <w:pPr>
        <w:spacing w:line="259" w:lineRule="auto"/>
        <w:rPr>
          <w:rFonts w:hint="eastAsia"/>
          <w:sz w:val="22"/>
          <w:szCs w:val="22"/>
        </w:rPr>
      </w:pPr>
      <w:r>
        <w:rPr>
          <w:sz w:val="22"/>
          <w:szCs w:val="22"/>
        </w:rPr>
        <w:t>=====================================================================================</w:t>
      </w:r>
    </w:p>
    <w:p w14:paraId="2E1947C7" w14:textId="42DD40C1" w:rsidR="001A65E2" w:rsidRDefault="001A65E2" w:rsidP="001A65E2">
      <w:pPr>
        <w:spacing w:line="259" w:lineRule="auto"/>
        <w:rPr>
          <w:rFonts w:hint="eastAsia"/>
          <w:sz w:val="22"/>
          <w:szCs w:val="22"/>
        </w:rPr>
      </w:pPr>
      <w:r w:rsidRPr="00734A86">
        <w:rPr>
          <w:b/>
          <w:bCs/>
          <w:sz w:val="22"/>
          <w:szCs w:val="22"/>
        </w:rPr>
        <w:t>Input:</w:t>
      </w:r>
      <w:r w:rsidRPr="1E8B8FB0">
        <w:rPr>
          <w:sz w:val="22"/>
          <w:szCs w:val="22"/>
        </w:rPr>
        <w:t xml:space="preserve"> Data collected in-person or from an electronic form (using the questions above)</w:t>
      </w:r>
      <w:r w:rsidR="00734A86">
        <w:rPr>
          <w:sz w:val="22"/>
          <w:szCs w:val="22"/>
        </w:rPr>
        <w:t>.</w:t>
      </w:r>
    </w:p>
    <w:p w14:paraId="64A36507" w14:textId="74E95588" w:rsidR="00174DD7" w:rsidRDefault="001A65E2" w:rsidP="001A65E2">
      <w:r w:rsidRPr="00734A86">
        <w:rPr>
          <w:b/>
          <w:bCs/>
          <w:sz w:val="22"/>
          <w:szCs w:val="22"/>
        </w:rPr>
        <w:t>Output:</w:t>
      </w:r>
      <w:r w:rsidRPr="1E8B8FB0">
        <w:rPr>
          <w:sz w:val="22"/>
          <w:szCs w:val="22"/>
        </w:rPr>
        <w:t xml:space="preserve"> Excel sheet of process candidates prioritized with scoring</w:t>
      </w:r>
      <w:r w:rsidR="00734A86">
        <w:rPr>
          <w:sz w:val="22"/>
          <w:szCs w:val="22"/>
        </w:rPr>
        <w:t>. Sum all the scores (where applicable) to determine which process candidates show the most potential for mining.</w:t>
      </w:r>
    </w:p>
    <w:sectPr w:rsidR="00174DD7" w:rsidSect="00026FA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orin-cornel.horac@cic.gc.ca" w:date="2024-09-30T14:17:00Z" w:initials="do">
    <w:p w14:paraId="26BD8C98" w14:textId="77777777" w:rsidR="001A65E2" w:rsidRDefault="001A65E2" w:rsidP="001A65E2">
      <w:pPr>
        <w:rPr>
          <w:rFonts w:hint="eastAsia"/>
        </w:rPr>
      </w:pPr>
      <w:r>
        <w:annotationRef/>
      </w:r>
      <w:r w:rsidRPr="3B13B1E4">
        <w:t xml:space="preserve">For IRCC all the application/service fees are seen as cost recovery fees </w:t>
      </w:r>
    </w:p>
  </w:comment>
  <w:comment w:id="2" w:author="Jacques Trottier" w:date="2024-10-02T09:39:00Z" w:initials="JT">
    <w:p w14:paraId="50C7635B" w14:textId="77777777" w:rsidR="001A65E2" w:rsidRDefault="001A65E2" w:rsidP="001A65E2">
      <w:pPr>
        <w:rPr>
          <w:rFonts w:hint="eastAsia"/>
        </w:rPr>
      </w:pPr>
      <w:r>
        <w:annotationRef/>
      </w:r>
      <w:r w:rsidRPr="08CF8F81">
        <w:t>Sure, but there could be internal-facing services that don't work on cost-recovery. That's why this distinction is important for prioritization.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BD8C98" w15:done="1"/>
  <w15:commentEx w15:paraId="50C7635B" w15:paraIdParent="26BD8C9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13DA210" w16cex:dateUtc="2024-09-30T18:17:00Z"/>
  <w16cex:commentExtensible w16cex:durableId="5D4FDE7F" w16cex:dateUtc="2024-10-02T1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BD8C98" w16cid:durableId="413DA210"/>
  <w16cid:commentId w16cid:paraId="50C7635B" w16cid:durableId="5D4FDE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724EF"/>
    <w:multiLevelType w:val="hybridMultilevel"/>
    <w:tmpl w:val="73DE6A0A"/>
    <w:lvl w:ilvl="0" w:tplc="67EAE782">
      <w:start w:val="1"/>
      <w:numFmt w:val="lowerLetter"/>
      <w:lvlText w:val="%1."/>
      <w:lvlJc w:val="left"/>
      <w:pPr>
        <w:ind w:left="1080" w:hanging="360"/>
      </w:pPr>
    </w:lvl>
    <w:lvl w:ilvl="1" w:tplc="0B7288AA">
      <w:start w:val="1"/>
      <w:numFmt w:val="lowerLetter"/>
      <w:lvlText w:val="%2."/>
      <w:lvlJc w:val="left"/>
      <w:pPr>
        <w:ind w:left="1800" w:hanging="360"/>
      </w:pPr>
    </w:lvl>
    <w:lvl w:ilvl="2" w:tplc="8200DDFC">
      <w:start w:val="1"/>
      <w:numFmt w:val="lowerRoman"/>
      <w:lvlText w:val="%3."/>
      <w:lvlJc w:val="right"/>
      <w:pPr>
        <w:ind w:left="2520" w:hanging="180"/>
      </w:pPr>
    </w:lvl>
    <w:lvl w:ilvl="3" w:tplc="87321B12">
      <w:start w:val="1"/>
      <w:numFmt w:val="decimal"/>
      <w:lvlText w:val="%4."/>
      <w:lvlJc w:val="left"/>
      <w:pPr>
        <w:ind w:left="3240" w:hanging="360"/>
      </w:pPr>
    </w:lvl>
    <w:lvl w:ilvl="4" w:tplc="E10AE69C">
      <w:start w:val="1"/>
      <w:numFmt w:val="lowerLetter"/>
      <w:lvlText w:val="%5."/>
      <w:lvlJc w:val="left"/>
      <w:pPr>
        <w:ind w:left="3960" w:hanging="360"/>
      </w:pPr>
    </w:lvl>
    <w:lvl w:ilvl="5" w:tplc="9E22E7E4">
      <w:start w:val="1"/>
      <w:numFmt w:val="lowerRoman"/>
      <w:lvlText w:val="%6."/>
      <w:lvlJc w:val="right"/>
      <w:pPr>
        <w:ind w:left="4680" w:hanging="180"/>
      </w:pPr>
    </w:lvl>
    <w:lvl w:ilvl="6" w:tplc="9FE83208">
      <w:start w:val="1"/>
      <w:numFmt w:val="decimal"/>
      <w:lvlText w:val="%7."/>
      <w:lvlJc w:val="left"/>
      <w:pPr>
        <w:ind w:left="5400" w:hanging="360"/>
      </w:pPr>
    </w:lvl>
    <w:lvl w:ilvl="7" w:tplc="C41CF630">
      <w:start w:val="1"/>
      <w:numFmt w:val="lowerLetter"/>
      <w:lvlText w:val="%8."/>
      <w:lvlJc w:val="left"/>
      <w:pPr>
        <w:ind w:left="6120" w:hanging="360"/>
      </w:pPr>
    </w:lvl>
    <w:lvl w:ilvl="8" w:tplc="5246DAE0">
      <w:start w:val="1"/>
      <w:numFmt w:val="lowerRoman"/>
      <w:lvlText w:val="%9."/>
      <w:lvlJc w:val="right"/>
      <w:pPr>
        <w:ind w:left="6840" w:hanging="180"/>
      </w:pPr>
    </w:lvl>
  </w:abstractNum>
  <w:abstractNum w:abstractNumId="1" w15:restartNumberingAfterBreak="0">
    <w:nsid w:val="3C58051D"/>
    <w:multiLevelType w:val="hybridMultilevel"/>
    <w:tmpl w:val="5DD8B6C8"/>
    <w:lvl w:ilvl="0" w:tplc="B5D43786">
      <w:start w:val="1"/>
      <w:numFmt w:val="lowerLetter"/>
      <w:lvlText w:val="%1."/>
      <w:lvlJc w:val="left"/>
      <w:pPr>
        <w:ind w:left="1080" w:hanging="360"/>
      </w:pPr>
    </w:lvl>
    <w:lvl w:ilvl="1" w:tplc="9662C1E0">
      <w:start w:val="1"/>
      <w:numFmt w:val="lowerLetter"/>
      <w:lvlText w:val="%2."/>
      <w:lvlJc w:val="left"/>
      <w:pPr>
        <w:ind w:left="1800" w:hanging="360"/>
      </w:pPr>
    </w:lvl>
    <w:lvl w:ilvl="2" w:tplc="4656E84C">
      <w:start w:val="1"/>
      <w:numFmt w:val="lowerRoman"/>
      <w:lvlText w:val="%3."/>
      <w:lvlJc w:val="right"/>
      <w:pPr>
        <w:ind w:left="2520" w:hanging="180"/>
      </w:pPr>
    </w:lvl>
    <w:lvl w:ilvl="3" w:tplc="40CC37EC">
      <w:start w:val="1"/>
      <w:numFmt w:val="decimal"/>
      <w:lvlText w:val="%4."/>
      <w:lvlJc w:val="left"/>
      <w:pPr>
        <w:ind w:left="3240" w:hanging="360"/>
      </w:pPr>
    </w:lvl>
    <w:lvl w:ilvl="4" w:tplc="CE2AA6BE">
      <w:start w:val="1"/>
      <w:numFmt w:val="lowerLetter"/>
      <w:lvlText w:val="%5."/>
      <w:lvlJc w:val="left"/>
      <w:pPr>
        <w:ind w:left="3960" w:hanging="360"/>
      </w:pPr>
    </w:lvl>
    <w:lvl w:ilvl="5" w:tplc="4C7246A6">
      <w:start w:val="1"/>
      <w:numFmt w:val="lowerRoman"/>
      <w:lvlText w:val="%6."/>
      <w:lvlJc w:val="right"/>
      <w:pPr>
        <w:ind w:left="4680" w:hanging="180"/>
      </w:pPr>
    </w:lvl>
    <w:lvl w:ilvl="6" w:tplc="9CC0D76E">
      <w:start w:val="1"/>
      <w:numFmt w:val="decimal"/>
      <w:lvlText w:val="%7."/>
      <w:lvlJc w:val="left"/>
      <w:pPr>
        <w:ind w:left="5400" w:hanging="360"/>
      </w:pPr>
    </w:lvl>
    <w:lvl w:ilvl="7" w:tplc="172E9346">
      <w:start w:val="1"/>
      <w:numFmt w:val="lowerLetter"/>
      <w:lvlText w:val="%8."/>
      <w:lvlJc w:val="left"/>
      <w:pPr>
        <w:ind w:left="6120" w:hanging="360"/>
      </w:pPr>
    </w:lvl>
    <w:lvl w:ilvl="8" w:tplc="587AC270">
      <w:start w:val="1"/>
      <w:numFmt w:val="lowerRoman"/>
      <w:lvlText w:val="%9."/>
      <w:lvlJc w:val="right"/>
      <w:pPr>
        <w:ind w:left="6840" w:hanging="180"/>
      </w:pPr>
    </w:lvl>
  </w:abstractNum>
  <w:abstractNum w:abstractNumId="2" w15:restartNumberingAfterBreak="0">
    <w:nsid w:val="5ADE7FCA"/>
    <w:multiLevelType w:val="hybridMultilevel"/>
    <w:tmpl w:val="F45E485A"/>
    <w:lvl w:ilvl="0" w:tplc="116CAC0A">
      <w:start w:val="1"/>
      <w:numFmt w:val="decimal"/>
      <w:lvlText w:val="%1."/>
      <w:lvlJc w:val="left"/>
      <w:pPr>
        <w:ind w:left="720" w:hanging="360"/>
      </w:pPr>
    </w:lvl>
    <w:lvl w:ilvl="1" w:tplc="9B3E100C">
      <w:start w:val="1"/>
      <w:numFmt w:val="lowerLetter"/>
      <w:lvlText w:val="%2."/>
      <w:lvlJc w:val="left"/>
      <w:pPr>
        <w:ind w:left="1440" w:hanging="360"/>
      </w:pPr>
    </w:lvl>
    <w:lvl w:ilvl="2" w:tplc="136EBD08">
      <w:start w:val="1"/>
      <w:numFmt w:val="lowerRoman"/>
      <w:lvlText w:val="%3."/>
      <w:lvlJc w:val="right"/>
      <w:pPr>
        <w:ind w:left="2160" w:hanging="180"/>
      </w:pPr>
    </w:lvl>
    <w:lvl w:ilvl="3" w:tplc="7F72D1BE">
      <w:start w:val="1"/>
      <w:numFmt w:val="decimal"/>
      <w:lvlText w:val="%4."/>
      <w:lvlJc w:val="left"/>
      <w:pPr>
        <w:ind w:left="2880" w:hanging="360"/>
      </w:pPr>
    </w:lvl>
    <w:lvl w:ilvl="4" w:tplc="06A095E2">
      <w:start w:val="1"/>
      <w:numFmt w:val="lowerLetter"/>
      <w:lvlText w:val="%5."/>
      <w:lvlJc w:val="left"/>
      <w:pPr>
        <w:ind w:left="3600" w:hanging="360"/>
      </w:pPr>
    </w:lvl>
    <w:lvl w:ilvl="5" w:tplc="89062362">
      <w:start w:val="1"/>
      <w:numFmt w:val="lowerRoman"/>
      <w:lvlText w:val="%6."/>
      <w:lvlJc w:val="right"/>
      <w:pPr>
        <w:ind w:left="4320" w:hanging="180"/>
      </w:pPr>
    </w:lvl>
    <w:lvl w:ilvl="6" w:tplc="B0CC0608">
      <w:start w:val="1"/>
      <w:numFmt w:val="decimal"/>
      <w:lvlText w:val="%7."/>
      <w:lvlJc w:val="left"/>
      <w:pPr>
        <w:ind w:left="5040" w:hanging="360"/>
      </w:pPr>
    </w:lvl>
    <w:lvl w:ilvl="7" w:tplc="CECCE880">
      <w:start w:val="1"/>
      <w:numFmt w:val="lowerLetter"/>
      <w:lvlText w:val="%8."/>
      <w:lvlJc w:val="left"/>
      <w:pPr>
        <w:ind w:left="5760" w:hanging="360"/>
      </w:pPr>
    </w:lvl>
    <w:lvl w:ilvl="8" w:tplc="1E74B044">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rin-cornel.horac@cic.gc.ca">
    <w15:presenceInfo w15:providerId="AD" w15:userId="S::urn:spo:guest#dorin-cornel.horac@cic.gc.ca::"/>
  </w15:person>
  <w15:person w15:author="Jacques Trottier">
    <w15:presenceInfo w15:providerId="AD" w15:userId="S::jtrot033@uottawa.ca::f3cb6fd5-1f2a-4165-8f58-4e1e56e2bb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E2"/>
    <w:rsid w:val="00026FA4"/>
    <w:rsid w:val="00090F9E"/>
    <w:rsid w:val="00174DD7"/>
    <w:rsid w:val="001A65E2"/>
    <w:rsid w:val="005C77A4"/>
    <w:rsid w:val="006E3720"/>
    <w:rsid w:val="00734A86"/>
    <w:rsid w:val="00982EE1"/>
    <w:rsid w:val="00A235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16F0D89"/>
  <w15:chartTrackingRefBased/>
  <w15:docId w15:val="{3A4EE308-D845-5F4F-BC07-27727EC5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5E2"/>
    <w:pPr>
      <w:spacing w:after="160" w:line="279" w:lineRule="auto"/>
    </w:pPr>
    <w:rPr>
      <w:rFonts w:eastAsiaTheme="minorEastAsia"/>
      <w:lang w:val="en-US" w:eastAsia="ja-JP"/>
    </w:rPr>
  </w:style>
  <w:style w:type="paragraph" w:styleId="Heading3">
    <w:name w:val="heading 3"/>
    <w:basedOn w:val="Normal"/>
    <w:next w:val="Normal"/>
    <w:link w:val="Heading3Char"/>
    <w:uiPriority w:val="9"/>
    <w:unhideWhenUsed/>
    <w:qFormat/>
    <w:rsid w:val="001A65E2"/>
    <w:pPr>
      <w:keepNext/>
      <w:keepLines/>
      <w:spacing w:before="160" w:after="80"/>
      <w:outlineLvl w:val="2"/>
    </w:pPr>
    <w:rPr>
      <w:rFonts w:eastAsiaTheme="majorEastAsia"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65E2"/>
    <w:rPr>
      <w:rFonts w:eastAsiaTheme="majorEastAsia" w:cstheme="majorBidi"/>
      <w:color w:val="2F5496" w:themeColor="accent1" w:themeShade="BF"/>
      <w:sz w:val="28"/>
      <w:szCs w:val="28"/>
      <w:lang w:val="en-US" w:eastAsia="ja-JP"/>
    </w:rPr>
  </w:style>
  <w:style w:type="table" w:styleId="TableGrid">
    <w:name w:val="Table Grid"/>
    <w:basedOn w:val="TableNormal"/>
    <w:uiPriority w:val="59"/>
    <w:rsid w:val="001A65E2"/>
    <w:rPr>
      <w:rFonts w:eastAsiaTheme="minorEastAsia"/>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A65E2"/>
    <w:pPr>
      <w:ind w:left="720"/>
      <w:contextualSpacing/>
    </w:pPr>
  </w:style>
  <w:style w:type="paragraph" w:styleId="CommentText">
    <w:name w:val="annotation text"/>
    <w:basedOn w:val="Normal"/>
    <w:link w:val="CommentTextChar"/>
    <w:uiPriority w:val="99"/>
    <w:semiHidden/>
    <w:unhideWhenUsed/>
    <w:rsid w:val="001A65E2"/>
    <w:pPr>
      <w:spacing w:line="240" w:lineRule="auto"/>
    </w:pPr>
    <w:rPr>
      <w:sz w:val="20"/>
      <w:szCs w:val="20"/>
    </w:rPr>
  </w:style>
  <w:style w:type="character" w:customStyle="1" w:styleId="CommentTextChar">
    <w:name w:val="Comment Text Char"/>
    <w:basedOn w:val="DefaultParagraphFont"/>
    <w:link w:val="CommentText"/>
    <w:uiPriority w:val="99"/>
    <w:semiHidden/>
    <w:rsid w:val="001A65E2"/>
    <w:rPr>
      <w:rFonts w:eastAsiaTheme="minorEastAsia"/>
      <w:sz w:val="20"/>
      <w:szCs w:val="20"/>
      <w:lang w:val="en-US" w:eastAsia="ja-JP"/>
    </w:rPr>
  </w:style>
  <w:style w:type="character" w:styleId="CommentReference">
    <w:name w:val="annotation reference"/>
    <w:basedOn w:val="DefaultParagraphFont"/>
    <w:uiPriority w:val="99"/>
    <w:semiHidden/>
    <w:unhideWhenUsed/>
    <w:rsid w:val="001A65E2"/>
    <w:rPr>
      <w:sz w:val="16"/>
      <w:szCs w:val="16"/>
    </w:rPr>
  </w:style>
  <w:style w:type="character" w:styleId="Hyperlink">
    <w:name w:val="Hyperlink"/>
    <w:basedOn w:val="DefaultParagraphFont"/>
    <w:uiPriority w:val="99"/>
    <w:unhideWhenUsed/>
    <w:rsid w:val="001A65E2"/>
    <w:rPr>
      <w:color w:val="0563C1" w:themeColor="hyperlink"/>
      <w:u w:val="single"/>
    </w:rPr>
  </w:style>
  <w:style w:type="character" w:styleId="UnresolvedMention">
    <w:name w:val="Unresolved Mention"/>
    <w:basedOn w:val="DefaultParagraphFont"/>
    <w:uiPriority w:val="99"/>
    <w:semiHidden/>
    <w:unhideWhenUsed/>
    <w:rsid w:val="001A65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ttps://articles.alpha.canada.ca/forms-formulaires/" TargetMode="External"/><Relationship Id="rId11" Type="http://schemas.openxmlformats.org/officeDocument/2006/relationships/fontTable" Target="fontTable.xml"/><Relationship Id="rId5" Type="http://schemas.openxmlformats.org/officeDocument/2006/relationships/hyperlink" Target="mailto:https://forms.office.com/"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Trottier</dc:creator>
  <cp:keywords/>
  <dc:description/>
  <cp:lastModifiedBy>Jacques Trottier</cp:lastModifiedBy>
  <cp:revision>1</cp:revision>
  <dcterms:created xsi:type="dcterms:W3CDTF">2024-10-15T18:06:00Z</dcterms:created>
  <dcterms:modified xsi:type="dcterms:W3CDTF">2024-10-15T18:36:00Z</dcterms:modified>
</cp:coreProperties>
</file>