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31edbf0c8689b3ad19cb239b9aa0d2ec181b7cf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PM Exam Pro Customer Journey &amp; UX Readiness Review</w:t>
      </w:r>
    </w:p>
    <w:p>
      <w:pPr>
        <w:pStyle w:val="FirstParagraph"/>
      </w:pPr>
      <w:r>
        <w:rPr>
          <w:b/>
          <w:bCs/>
        </w:rPr>
        <w:t xml:space="preserve">Prepared for client presentation</w:t>
      </w:r>
      <w:r>
        <w:br/>
      </w:r>
      <w:r>
        <w:rPr>
          <w:b/>
          <w:bCs/>
        </w:rPr>
        <w:t xml:space="preserve">Review date:</w:t>
      </w:r>
      <w:r>
        <w:t xml:space="preserve"> </w:t>
      </w:r>
      <w:r>
        <w:t xml:space="preserve">7 September 2026</w:t>
      </w:r>
      <w:r>
        <w:br/>
      </w:r>
      <w:r>
        <w:rPr>
          <w:b/>
          <w:bCs/>
        </w:rPr>
        <w:t xml:space="preserve">Environment reviewed:</w:t>
      </w:r>
      <w:r>
        <w:t xml:space="preserve"> </w:t>
      </w:r>
      <w:r>
        <w:t xml:space="preserve">Live PM Exam Pro website using the ToyyibPay sandbox</w:t>
      </w:r>
    </w:p>
    <w:bookmarkStart w:id="9" w:name="executive-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Executive view</w:t>
      </w:r>
    </w:p>
    <w:p>
      <w:pPr>
        <w:pStyle w:val="FirstParagraph"/>
      </w:pPr>
      <w:r>
        <w:t xml:space="preserve">The PM Exam Pro customer journey is operational from discovery through paid exam access. A new visitor can explore the catalog, try a free preview, register, verify their email, pay through ToyyibPay, begin tests, save and resume work, review answers, see statistics, manage their account, download a receipt, and sign out.</w:t>
      </w:r>
    </w:p>
    <w:p>
      <w:pPr>
        <w:pStyle w:val="BodyText"/>
      </w:pPr>
      <w:r>
        <w:t xml:space="preserve">Testing generated meaningful learner data across the full available catalog:</w:t>
      </w:r>
      <w:r>
        <w:t xml:space="preserve"> </w:t>
      </w:r>
      <w:r>
        <w:rPr>
          <w:b/>
          <w:bCs/>
        </w:rPr>
        <w:t xml:space="preserve">18 completed attempts and 516 question responses across six usable exams</w:t>
      </w:r>
      <w:r>
        <w:t xml:space="preserve">. The simulator is responsive and contains a strong set of learning tools, including training feedback, explanations, multi-select questions, highlighting, strikethrough, marking for review, saved progress, and performance tracking.</w:t>
      </w:r>
    </w:p>
    <w:p>
      <w:pPr>
        <w:pStyle w:val="BodyText"/>
      </w:pPr>
      <w:r>
        <w:t xml:space="preserve">Our recommendation is to complete a focused pre-launch improvement cycle before broad promotion. The main priorities are payment assurance, catalog accuracy, one unusable exam, and product-specific analytics.</w:t>
      </w:r>
    </w:p>
    <w:bookmarkEnd w:id="9"/>
    <w:bookmarkStart w:id="10" w:name="what-works-well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What works well</w:t>
      </w:r>
    </w:p>
    <w:p>
      <w:pPr>
        <w:pStyle w:val="Compact"/>
        <w:numPr>
          <w:ilvl w:val="0"/>
          <w:numId w:val="1001"/>
        </w:numPr>
      </w:pPr>
      <w:r>
        <w:t xml:space="preserve">Clear product positioning and strong calls to try a free exam.</w:t>
      </w:r>
    </w:p>
    <w:p>
      <w:pPr>
        <w:pStyle w:val="Compact"/>
        <w:numPr>
          <w:ilvl w:val="0"/>
          <w:numId w:val="1001"/>
        </w:numPr>
      </w:pPr>
      <w:r>
        <w:t xml:space="preserve">Five-question previews allow visitors to experience the simulator before purchasing.</w:t>
      </w:r>
    </w:p>
    <w:p>
      <w:pPr>
        <w:pStyle w:val="Compact"/>
        <w:numPr>
          <w:ilvl w:val="0"/>
          <w:numId w:val="1001"/>
        </w:numPr>
      </w:pPr>
      <w:r>
        <w:t xml:space="preserve">Email verification, registration, and login work.</w:t>
      </w:r>
    </w:p>
    <w:p>
      <w:pPr>
        <w:pStyle w:val="Compact"/>
        <w:numPr>
          <w:ilvl w:val="0"/>
          <w:numId w:val="1001"/>
        </w:numPr>
      </w:pPr>
      <w:r>
        <w:t xml:space="preserve">PMP and CAPM ToyyibPay sandbox purchases activate access immediately.</w:t>
      </w:r>
    </w:p>
    <w:p>
      <w:pPr>
        <w:pStyle w:val="Compact"/>
        <w:numPr>
          <w:ilvl w:val="0"/>
          <w:numId w:val="1001"/>
        </w:numPr>
      </w:pPr>
      <w:r>
        <w:t xml:space="preserve">The simulator works on desktop and mobile without horizontal layout problems.</w:t>
      </w:r>
    </w:p>
    <w:p>
      <w:pPr>
        <w:pStyle w:val="Compact"/>
        <w:numPr>
          <w:ilvl w:val="0"/>
          <w:numId w:val="1001"/>
        </w:numPr>
      </w:pPr>
      <w:r>
        <w:t xml:space="preserve">Learners can save an attempt and resume from the recorded answer count.</w:t>
      </w:r>
    </w:p>
    <w:p>
      <w:pPr>
        <w:pStyle w:val="Compact"/>
        <w:numPr>
          <w:ilvl w:val="0"/>
          <w:numId w:val="1001"/>
        </w:numPr>
      </w:pPr>
      <w:r>
        <w:t xml:space="preserve">Training mode gives immediate feedback and explanations.</w:t>
      </w:r>
    </w:p>
    <w:p>
      <w:pPr>
        <w:pStyle w:val="Compact"/>
        <w:numPr>
          <w:ilvl w:val="0"/>
          <w:numId w:val="1001"/>
        </w:numPr>
      </w:pPr>
      <w:r>
        <w:t xml:space="preserve">Single-choice and “select all that apply” questions work.</w:t>
      </w:r>
    </w:p>
    <w:p>
      <w:pPr>
        <w:pStyle w:val="Compact"/>
        <w:numPr>
          <w:ilvl w:val="0"/>
          <w:numId w:val="1001"/>
        </w:numPr>
      </w:pPr>
      <w:r>
        <w:t xml:space="preserve">Review screens show answered, unanswered, and flagged questions before submission.</w:t>
      </w:r>
    </w:p>
    <w:p>
      <w:pPr>
        <w:pStyle w:val="Compact"/>
        <w:numPr>
          <w:ilvl w:val="0"/>
          <w:numId w:val="1001"/>
        </w:numPr>
      </w:pPr>
      <w:r>
        <w:t xml:space="preserve">Results include detailed answer explanations and incorrect-answer filtering.</w:t>
      </w:r>
    </w:p>
    <w:p>
      <w:pPr>
        <w:pStyle w:val="Compact"/>
        <w:numPr>
          <w:ilvl w:val="0"/>
          <w:numId w:val="1001"/>
        </w:numPr>
      </w:pPr>
      <w:r>
        <w:t xml:space="preserve">Multiple attempts create useful trend, average, best-score, and history views.</w:t>
      </w:r>
    </w:p>
    <w:p>
      <w:pPr>
        <w:pStyle w:val="Compact"/>
        <w:numPr>
          <w:ilvl w:val="0"/>
          <w:numId w:val="1001"/>
        </w:numPr>
      </w:pPr>
      <w:r>
        <w:t xml:space="preserve">Account management, subscriptions, receipts, privacy requests, password recovery, and logout are present.</w:t>
      </w:r>
    </w:p>
    <w:bookmarkEnd w:id="10"/>
    <w:bookmarkStart w:id="11" w:name="customer-journey-scorecard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Customer journey scorecard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Journey stage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 and compare packs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Clear catalog and product pages; mobile navigation can improve.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Try before purchase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Useful five-question simulator; preview timing needs clearer wording.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 and verify</w:t>
            </w:r>
          </w:p>
        </w:tc>
        <w:tc>
          <w:tcPr/>
          <w:p>
            <w:pPr>
              <w:pStyle w:val="Compact"/>
            </w:pPr>
            <w:r>
              <w:t xml:space="preserve">Good with fixes</w:t>
            </w:r>
          </w:p>
        </w:tc>
        <w:tc>
          <w:tcPr/>
          <w:p>
            <w:pPr>
              <w:pStyle w:val="Compact"/>
            </w:pPr>
            <w:r>
              <w:t xml:space="preserve">Works, but optional profiling makes checkout longer and email branding differs from the website.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 final price</w:t>
            </w:r>
          </w:p>
        </w:tc>
        <w:tc>
          <w:tcPr/>
          <w:p>
            <w:pPr>
              <w:pStyle w:val="Compact"/>
            </w:pPr>
            <w:r>
              <w:t xml:space="preserve">Needs improvement</w:t>
            </w:r>
          </w:p>
        </w:tc>
        <w:tc>
          <w:tcPr/>
          <w:p>
            <w:pPr>
              <w:pStyle w:val="Compact"/>
            </w:pPr>
            <w:r>
              <w:t xml:space="preserve">Currency estimate is available, but the gateway fee appears only after redirect.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 and receive access</w:t>
            </w:r>
          </w:p>
        </w:tc>
        <w:tc>
          <w:tcPr/>
          <w:p>
            <w:pPr>
              <w:pStyle w:val="Compact"/>
            </w:pPr>
            <w:r>
              <w:t xml:space="preserve">Good with fixes</w:t>
            </w:r>
          </w:p>
        </w:tc>
        <w:tc>
          <w:tcPr/>
          <w:p>
            <w:pPr>
              <w:pStyle w:val="Compact"/>
            </w:pPr>
            <w:r>
              <w:t xml:space="preserve">Both sandbox payments activated access; gateway identity and receipt reconciliation need improvement.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and resume tests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Core simulator is capable and mobile-friendly.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 through training</w:t>
            </w:r>
          </w:p>
        </w:tc>
        <w:tc>
          <w:tcPr/>
          <w:p>
            <w:pPr>
              <w:pStyle w:val="Compact"/>
            </w:pPr>
            <w:r>
              <w:t xml:space="preserve">Good with one broken link</w:t>
            </w:r>
          </w:p>
        </w:tc>
        <w:tc>
          <w:tcPr/>
          <w:p>
            <w:pPr>
              <w:pStyle w:val="Compact"/>
            </w:pPr>
            <w:r>
              <w:t xml:space="preserve">Feedback is useful; “Review answers” fails after training completion.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 performance</w:t>
            </w:r>
          </w:p>
        </w:tc>
        <w:tc>
          <w:tcPr/>
          <w:p>
            <w:pPr>
              <w:pStyle w:val="Compact"/>
            </w:pPr>
            <w:r>
              <w:t xml:space="preserve">Needs improvement</w:t>
            </w:r>
          </w:p>
        </w:tc>
        <w:tc>
          <w:tcPr/>
          <w:p>
            <w:pPr>
              <w:pStyle w:val="Compact"/>
            </w:pPr>
            <w:r>
              <w:t xml:space="preserve">Headline scores work; domain results mix PMP and CAPM 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account and exit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Profile, subscriptions, receipts, privacy request, password reset, and logout work.</w:t>
            </w:r>
          </w:p>
        </w:tc>
      </w:tr>
    </w:tbl>
    <w:bookmarkEnd w:id="11"/>
    <w:bookmarkStart w:id="15" w:name="priority-action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Priority actions</w:t>
      </w:r>
    </w:p>
    <w:bookmarkStart w:id="12" w:name="priority-1-complete-before-broad-launch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Priority 1 — complete before broad launch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Harden payment confirmation.</w:t>
      </w:r>
      <w:r>
        <w:t xml:space="preserve"> </w:t>
      </w:r>
      <w:r>
        <w:t xml:space="preserve">Confirm every ToyyibPay success directly with the gateway and match the order, bill, amount, currency, and transaction before granting access.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 or repair the empty PMP exam.</w:t>
      </w:r>
      <w:r>
        <w:t xml:space="preserve"> </w:t>
      </w:r>
      <w:r>
        <w:t xml:space="preserve">One published test currently starts with zero questions and then shows an error.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Align catalog promises with available content.</w:t>
      </w:r>
      <w:r>
        <w:t xml:space="preserve"> </w:t>
      </w:r>
      <w:r>
        <w:t xml:space="preserve">The site promotes 1,000+ questions, while 172 questions are currently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 product-specific analytics.</w:t>
      </w:r>
      <w:r>
        <w:t xml:space="preserve"> </w:t>
      </w:r>
      <w:r>
        <w:t xml:space="preserve">Switching between PMP and CAPM must also filter ECO and performance-domain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 the Training Mode completion link.</w:t>
      </w:r>
      <w:r>
        <w:t xml:space="preserve"> </w:t>
      </w:r>
      <w:r>
        <w:t xml:space="preserve">Do not offer “Review answers” if that training attempt is intentionally not retained.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 the production UAT-code message.</w:t>
      </w:r>
      <w:r>
        <w:t xml:space="preserve"> </w:t>
      </w:r>
      <w:r>
        <w:t xml:space="preserve">Test-code guidance should never appear to live customers.</w:t>
      </w:r>
    </w:p>
    <w:bookmarkEnd w:id="12"/>
    <w:bookmarkStart w:id="13" w:name="X0fefd4f76f15a5d7e364c93a9f3196f4dcb6605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Priority 2 — trust and conversion improvements</w:t>
      </w:r>
    </w:p>
    <w:p>
      <w:pPr>
        <w:pStyle w:val="Compact"/>
        <w:numPr>
          <w:ilvl w:val="0"/>
          <w:numId w:val="1003"/>
        </w:numPr>
      </w:pPr>
      <w:r>
        <w:t xml:space="preserve">Use the approved business name and support details on the ToyyibPay page instead of an individual merchant identity.</w:t>
      </w:r>
    </w:p>
    <w:p>
      <w:pPr>
        <w:pStyle w:val="Compact"/>
        <w:numPr>
          <w:ilvl w:val="0"/>
          <w:numId w:val="1003"/>
        </w:numPr>
      </w:pPr>
      <w:r>
        <w:t xml:space="preserve">Show the estimated MYR total and payment fee before redirecting customers.</w:t>
      </w:r>
    </w:p>
    <w:p>
      <w:pPr>
        <w:pStyle w:val="Compact"/>
        <w:numPr>
          <w:ilvl w:val="0"/>
          <w:numId w:val="1003"/>
        </w:numPr>
      </w:pPr>
      <w:r>
        <w:t xml:space="preserve">Make the application receipt reconcile the advertised USD price with the MYR amount and fee paid.</w:t>
      </w:r>
    </w:p>
    <w:p>
      <w:pPr>
        <w:pStyle w:val="Compact"/>
        <w:numPr>
          <w:ilvl w:val="0"/>
          <w:numId w:val="1003"/>
        </w:numPr>
      </w:pPr>
      <w:r>
        <w:t xml:space="preserve">Handle common plus-address emails gracefully and avoid leaving an account/order behind when the gateway rejects customer details.</w:t>
      </w:r>
    </w:p>
    <w:p>
      <w:pPr>
        <w:pStyle w:val="Compact"/>
        <w:numPr>
          <w:ilvl w:val="0"/>
          <w:numId w:val="1003"/>
        </w:numPr>
      </w:pPr>
      <w:r>
        <w:t xml:space="preserve">Align PM Exam Pro and PMAdvance branding in verification, reset, purchase, and receipt communications.</w:t>
      </w:r>
    </w:p>
    <w:p>
      <w:pPr>
        <w:pStyle w:val="Compact"/>
        <w:numPr>
          <w:ilvl w:val="0"/>
          <w:numId w:val="1003"/>
        </w:numPr>
      </w:pPr>
      <w:r>
        <w:t xml:space="preserve">Send a dedicated purchase confirmation and access-expiry reminders.</w:t>
      </w:r>
    </w:p>
    <w:p>
      <w:pPr>
        <w:pStyle w:val="Compact"/>
        <w:numPr>
          <w:ilvl w:val="0"/>
          <w:numId w:val="1003"/>
        </w:numPr>
      </w:pPr>
      <w:r>
        <w:t xml:space="preserve">Move optional age, occupation, and gender questions to post-purchase onboarding or account settings.</w:t>
      </w:r>
    </w:p>
    <w:bookmarkEnd w:id="13"/>
    <w:bookmarkStart w:id="14" w:name="priority-3-learner-experience-polish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Priority 3 — learner experience polish</w:t>
      </w:r>
    </w:p>
    <w:p>
      <w:pPr>
        <w:pStyle w:val="Compact"/>
        <w:numPr>
          <w:ilvl w:val="0"/>
          <w:numId w:val="1004"/>
        </w:numPr>
      </w:pPr>
      <w:r>
        <w:t xml:space="preserve">Add a short first-use guide for Training Mode, auto-forward, S/H tools, and flags.</w:t>
      </w:r>
    </w:p>
    <w:p>
      <w:pPr>
        <w:pStyle w:val="Compact"/>
        <w:numPr>
          <w:ilvl w:val="0"/>
          <w:numId w:val="1004"/>
        </w:numPr>
      </w:pPr>
      <w:r>
        <w:t xml:space="preserve">Replace or supplement “S” and “H” with descriptive, mobile-friendly controls.</w:t>
      </w:r>
    </w:p>
    <w:p>
      <w:pPr>
        <w:pStyle w:val="Compact"/>
        <w:numPr>
          <w:ilvl w:val="0"/>
          <w:numId w:val="1004"/>
        </w:numPr>
      </w:pPr>
      <w:r>
        <w:t xml:space="preserve">Use a compact sticky mobile test bar for question number, time, Save, and End.</w:t>
      </w:r>
    </w:p>
    <w:p>
      <w:pPr>
        <w:pStyle w:val="Compact"/>
        <w:numPr>
          <w:ilvl w:val="0"/>
          <w:numId w:val="1004"/>
        </w:numPr>
      </w:pPr>
      <w:r>
        <w:t xml:space="preserve">Make the preview promise explicit: “5-question preview · 1-minute demo,” separate from full-exam duration.</w:t>
      </w:r>
    </w:p>
    <w:p>
      <w:pPr>
        <w:pStyle w:val="Compact"/>
        <w:numPr>
          <w:ilvl w:val="0"/>
          <w:numId w:val="1004"/>
        </w:numPr>
      </w:pPr>
      <w:r>
        <w:t xml:space="preserve">Standardize domain names so performance insights are easy to understand.</w:t>
      </w:r>
    </w:p>
    <w:p>
      <w:pPr>
        <w:pStyle w:val="Compact"/>
        <w:numPr>
          <w:ilvl w:val="0"/>
          <w:numId w:val="1004"/>
        </w:numPr>
      </w:pPr>
      <w:r>
        <w:t xml:space="preserve">Show “correct” and “incorrect” as separately labelled numbers.</w:t>
      </w:r>
    </w:p>
    <w:p>
      <w:pPr>
        <w:pStyle w:val="Compact"/>
        <w:numPr>
          <w:ilvl w:val="0"/>
          <w:numId w:val="1004"/>
        </w:numPr>
      </w:pPr>
      <w:r>
        <w:t xml:space="preserve">Improve keyboard focus and Escape behavior in confirmation dialogs.</w:t>
      </w:r>
    </w:p>
    <w:p>
      <w:pPr>
        <w:pStyle w:val="Compact"/>
        <w:numPr>
          <w:ilvl w:val="0"/>
          <w:numId w:val="1004"/>
        </w:numPr>
      </w:pPr>
      <w:r>
        <w:t xml:space="preserve">Add a compact mobile menu for Catalog, FAQ, and Tutorial.</w:t>
      </w:r>
    </w:p>
    <w:bookmarkEnd w:id="14"/>
    <w:bookmarkEnd w:id="15"/>
    <w:bookmarkStart w:id="16" w:name="suggested-experience-direction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Suggested experience direction</w:t>
      </w:r>
    </w:p>
    <w:p>
      <w:pPr>
        <w:pStyle w:val="FirstParagraph"/>
      </w:pPr>
      <w:r>
        <w:t xml:space="preserve">The product already has the mechanics of a strong exam-preparation platform. The next design step should move the learner experience from “test history” toward “guided readiness.”</w:t>
      </w:r>
    </w:p>
    <w:p>
      <w:pPr>
        <w:pStyle w:val="BodyText"/>
      </w:pPr>
      <w:r>
        <w:t xml:space="preserve">A useful dashboard should answer four questions immediately:</w:t>
      </w:r>
    </w:p>
    <w:p>
      <w:pPr>
        <w:pStyle w:val="Compact"/>
        <w:numPr>
          <w:ilvl w:val="0"/>
          <w:numId w:val="1005"/>
        </w:numPr>
      </w:pPr>
      <w:r>
        <w:t xml:space="preserve">What should I do next?</w:t>
      </w:r>
    </w:p>
    <w:p>
      <w:pPr>
        <w:pStyle w:val="Compact"/>
        <w:numPr>
          <w:ilvl w:val="0"/>
          <w:numId w:val="1005"/>
        </w:numPr>
      </w:pPr>
      <w:r>
        <w:t xml:space="preserve">How close am I to being ready?</w:t>
      </w:r>
    </w:p>
    <w:p>
      <w:pPr>
        <w:pStyle w:val="Compact"/>
        <w:numPr>
          <w:ilvl w:val="0"/>
          <w:numId w:val="1005"/>
        </w:numPr>
      </w:pPr>
      <w:r>
        <w:t xml:space="preserve">Which two areas need the most attention?</w:t>
      </w:r>
    </w:p>
    <w:p>
      <w:pPr>
        <w:pStyle w:val="Compact"/>
        <w:numPr>
          <w:ilvl w:val="0"/>
          <w:numId w:val="1005"/>
        </w:numPr>
      </w:pPr>
      <w:r>
        <w:t xml:space="preserve">How much access time remains?</w:t>
      </w:r>
    </w:p>
    <w:p>
      <w:pPr>
        <w:pStyle w:val="FirstParagraph"/>
      </w:pPr>
      <w:r>
        <w:t xml:space="preserve">Recommended dashboard emphasis:</w:t>
      </w:r>
    </w:p>
    <w:p>
      <w:pPr>
        <w:pStyle w:val="Compact"/>
        <w:numPr>
          <w:ilvl w:val="0"/>
          <w:numId w:val="1006"/>
        </w:numPr>
      </w:pPr>
      <w:r>
        <w:t xml:space="preserve">Primary action: Resume the current attempt or start the recommended next test.</w:t>
      </w:r>
    </w:p>
    <w:p>
      <w:pPr>
        <w:pStyle w:val="Compact"/>
        <w:numPr>
          <w:ilvl w:val="0"/>
          <w:numId w:val="1006"/>
        </w:numPr>
      </w:pPr>
      <w:r>
        <w:t xml:space="preserve">Readiness summary: average, best, consistency, and progress against the correct exam threshold.</w:t>
      </w:r>
    </w:p>
    <w:p>
      <w:pPr>
        <w:pStyle w:val="Compact"/>
        <w:numPr>
          <w:ilvl w:val="0"/>
          <w:numId w:val="1006"/>
        </w:numPr>
      </w:pPr>
      <w:r>
        <w:t xml:space="preserve">Focus areas: two weakest standardized domains, with direct practice actions.</w:t>
      </w:r>
    </w:p>
    <w:p>
      <w:pPr>
        <w:pStyle w:val="Compact"/>
        <w:numPr>
          <w:ilvl w:val="0"/>
          <w:numId w:val="1006"/>
        </w:numPr>
      </w:pPr>
      <w:r>
        <w:t xml:space="preserve">Plan: actual exam countdown and a suggested pace based on remaining tests/access days.</w:t>
      </w:r>
    </w:p>
    <w:p>
      <w:pPr>
        <w:pStyle w:val="Compact"/>
        <w:numPr>
          <w:ilvl w:val="0"/>
          <w:numId w:val="1006"/>
        </w:numPr>
      </w:pPr>
      <w:r>
        <w:t xml:space="preserve">History: recent attempts, with detailed review one click away.</w:t>
      </w:r>
    </w:p>
    <w:bookmarkEnd w:id="16"/>
    <w:bookmarkStart w:id="20" w:name="recommended-ux-test-plan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Recommended UX test plan</w:t>
      </w:r>
    </w:p>
    <w:bookmarkStart w:id="17" w:name="moderated-usability-sessions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Moderated usability sessions</w:t>
      </w:r>
    </w:p>
    <w:p>
      <w:pPr>
        <w:pStyle w:val="FirstParagraph"/>
      </w:pPr>
      <w:r>
        <w:t xml:space="preserve">Test with five to eight target candidates per round. Give each participant realistic tasks rather than instructions about where to click:</w:t>
      </w:r>
    </w:p>
    <w:p>
      <w:pPr>
        <w:pStyle w:val="Compact"/>
        <w:numPr>
          <w:ilvl w:val="0"/>
          <w:numId w:val="1007"/>
        </w:numPr>
      </w:pPr>
      <w:r>
        <w:t xml:space="preserve">Choose the appropriate certification pack and describe what is included.</w:t>
      </w:r>
    </w:p>
    <w:p>
      <w:pPr>
        <w:pStyle w:val="Compact"/>
        <w:numPr>
          <w:ilvl w:val="0"/>
          <w:numId w:val="1007"/>
        </w:numPr>
      </w:pPr>
      <w:r>
        <w:t xml:space="preserve">Try a free test and explain the difference between preview and full access.</w:t>
      </w:r>
    </w:p>
    <w:p>
      <w:pPr>
        <w:pStyle w:val="Compact"/>
        <w:numPr>
          <w:ilvl w:val="0"/>
          <w:numId w:val="1007"/>
        </w:numPr>
      </w:pPr>
      <w:r>
        <w:t xml:space="preserve">Register and predict the amount they will pay before leaving the website.</w:t>
      </w:r>
    </w:p>
    <w:p>
      <w:pPr>
        <w:pStyle w:val="Compact"/>
        <w:numPr>
          <w:ilvl w:val="0"/>
          <w:numId w:val="1007"/>
        </w:numPr>
      </w:pPr>
      <w:r>
        <w:t xml:space="preserve">Answer a “select all that apply” question and use highlight, strikethrough, and flagging.</w:t>
      </w:r>
    </w:p>
    <w:p>
      <w:pPr>
        <w:pStyle w:val="Compact"/>
        <w:numPr>
          <w:ilvl w:val="0"/>
          <w:numId w:val="1007"/>
        </w:numPr>
      </w:pPr>
      <w:r>
        <w:t xml:space="preserve">Save midway, leave, return, and resume.</w:t>
      </w:r>
    </w:p>
    <w:p>
      <w:pPr>
        <w:pStyle w:val="Compact"/>
        <w:numPr>
          <w:ilvl w:val="0"/>
          <w:numId w:val="1007"/>
        </w:numPr>
      </w:pPr>
      <w:r>
        <w:t xml:space="preserve">Use the results to identify what to study next.</w:t>
      </w:r>
    </w:p>
    <w:p>
      <w:pPr>
        <w:pStyle w:val="Compact"/>
        <w:numPr>
          <w:ilvl w:val="0"/>
          <w:numId w:val="1007"/>
        </w:numPr>
      </w:pPr>
      <w:r>
        <w:t xml:space="preserve">Find a receipt, update account details, request privacy support, and sign out.</w:t>
      </w:r>
    </w:p>
    <w:p>
      <w:pPr>
        <w:pStyle w:val="FirstParagraph"/>
      </w:pPr>
      <w:r>
        <w:t xml:space="preserve">Measure task completion, first-click success, time, errors, abandonment points, confidence, and the System Usability Scale.</w:t>
      </w:r>
    </w:p>
    <w:bookmarkEnd w:id="17"/>
    <w:bookmarkStart w:id="18" w:name="accessibility-checks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Accessibility checks</w:t>
      </w:r>
    </w:p>
    <w:p>
      <w:pPr>
        <w:pStyle w:val="Compact"/>
        <w:numPr>
          <w:ilvl w:val="0"/>
          <w:numId w:val="1008"/>
        </w:numPr>
      </w:pPr>
      <w:r>
        <w:t xml:space="preserve">Keyboard-only completion of registration, payment return, simulator, review, and account flows.</w:t>
      </w:r>
    </w:p>
    <w:p>
      <w:pPr>
        <w:pStyle w:val="Compact"/>
        <w:numPr>
          <w:ilvl w:val="0"/>
          <w:numId w:val="1008"/>
        </w:numPr>
      </w:pPr>
      <w:r>
        <w:t xml:space="preserve">VoiceOver on Safari and NVDA on Firefox or Chrome.</w:t>
      </w:r>
    </w:p>
    <w:p>
      <w:pPr>
        <w:pStyle w:val="Compact"/>
        <w:numPr>
          <w:ilvl w:val="0"/>
          <w:numId w:val="1008"/>
        </w:numPr>
      </w:pPr>
      <w:r>
        <w:t xml:space="preserve">200%/400% zoom, large text, high contrast, and reduced motion.</w:t>
      </w:r>
    </w:p>
    <w:p>
      <w:pPr>
        <w:pStyle w:val="Compact"/>
        <w:numPr>
          <w:ilvl w:val="0"/>
          <w:numId w:val="1008"/>
        </w:numPr>
      </w:pPr>
      <w:r>
        <w:t xml:space="preserve">Clear spoken announcements for timer warnings, autosave, validation, results, and training feedback.</w:t>
      </w:r>
    </w:p>
    <w:p>
      <w:pPr>
        <w:pStyle w:val="Compact"/>
        <w:numPr>
          <w:ilvl w:val="0"/>
          <w:numId w:val="1008"/>
        </w:numPr>
      </w:pPr>
      <w:r>
        <w:t xml:space="preserve">Text/table alternatives for charts.</w:t>
      </w:r>
    </w:p>
    <w:bookmarkEnd w:id="18"/>
    <w:bookmarkStart w:id="19" w:name="functional-regression-suite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Functional regression suite</w:t>
      </w:r>
    </w:p>
    <w:p>
      <w:pPr>
        <w:pStyle w:val="Compact"/>
        <w:numPr>
          <w:ilvl w:val="0"/>
          <w:numId w:val="1009"/>
        </w:numPr>
      </w:pPr>
      <w:r>
        <w:t xml:space="preserve">Registration with common and edge-case email formats.</w:t>
      </w:r>
    </w:p>
    <w:p>
      <w:pPr>
        <w:pStyle w:val="Compact"/>
        <w:numPr>
          <w:ilvl w:val="0"/>
          <w:numId w:val="1009"/>
        </w:numPr>
      </w:pPr>
      <w:r>
        <w:t xml:space="preserve">Successful, failed, pending, abandoned, duplicate, delayed, and refunded payments.</w:t>
      </w:r>
    </w:p>
    <w:p>
      <w:pPr>
        <w:pStyle w:val="Compact"/>
        <w:numPr>
          <w:ilvl w:val="0"/>
          <w:numId w:val="1009"/>
        </w:numPr>
      </w:pPr>
      <w:r>
        <w:t xml:space="preserve">Payment amount/reference matching and duplicate-callback handling.</w:t>
      </w:r>
    </w:p>
    <w:p>
      <w:pPr>
        <w:pStyle w:val="Compact"/>
        <w:numPr>
          <w:ilvl w:val="0"/>
          <w:numId w:val="1009"/>
        </w:numPr>
      </w:pPr>
      <w:r>
        <w:t xml:space="preserve">Enrollment activation and exact expiry behavior.</w:t>
      </w:r>
    </w:p>
    <w:p>
      <w:pPr>
        <w:pStyle w:val="Compact"/>
        <w:numPr>
          <w:ilvl w:val="0"/>
          <w:numId w:val="1009"/>
        </w:numPr>
      </w:pPr>
      <w:r>
        <w:t xml:space="preserve">Zero-question/draft publication safeguards.</w:t>
      </w:r>
    </w:p>
    <w:p>
      <w:pPr>
        <w:pStyle w:val="Compact"/>
        <w:numPr>
          <w:ilvl w:val="0"/>
          <w:numId w:val="1009"/>
        </w:numPr>
      </w:pPr>
      <w:r>
        <w:t xml:space="preserve">Save/resume across refresh, browser close, network loss, and session renewal.</w:t>
      </w:r>
    </w:p>
    <w:p>
      <w:pPr>
        <w:pStyle w:val="Compact"/>
        <w:numPr>
          <w:ilvl w:val="0"/>
          <w:numId w:val="1009"/>
        </w:numPr>
      </w:pPr>
      <w:r>
        <w:t xml:space="preserve">Every question type, including images and true/false when those formats are introduced.</w:t>
      </w:r>
    </w:p>
    <w:p>
      <w:pPr>
        <w:pStyle w:val="Compact"/>
        <w:numPr>
          <w:ilvl w:val="0"/>
          <w:numId w:val="1009"/>
        </w:numPr>
      </w:pPr>
      <w:r>
        <w:t xml:space="preserve">Scoring and analytics against fixed expected answers, including multi-select answers chosen in different orders.</w:t>
      </w:r>
    </w:p>
    <w:p>
      <w:pPr>
        <w:pStyle w:val="Compact"/>
        <w:numPr>
          <w:ilvl w:val="0"/>
          <w:numId w:val="1009"/>
        </w:numPr>
      </w:pPr>
      <w:r>
        <w:t xml:space="preserve">Strict separation of PMP and CAPM statistics.</w:t>
      </w:r>
    </w:p>
    <w:p>
      <w:pPr>
        <w:pStyle w:val="Compact"/>
        <w:numPr>
          <w:ilvl w:val="0"/>
          <w:numId w:val="1009"/>
        </w:numPr>
      </w:pPr>
      <w:r>
        <w:t xml:space="preserve">Authorization checks so one customer cannot read another customer’s orders, receipts, or attempts.</w:t>
      </w:r>
    </w:p>
    <w:p>
      <w:pPr>
        <w:pStyle w:val="Compact"/>
        <w:numPr>
          <w:ilvl w:val="0"/>
          <w:numId w:val="1009"/>
        </w:numPr>
      </w:pPr>
      <w:r>
        <w:t xml:space="preserve">Chrome, Safari, Firefox, and Edge on desktop and mobile breakpoints.</w:t>
      </w:r>
    </w:p>
    <w:bookmarkEnd w:id="19"/>
    <w:bookmarkEnd w:id="20"/>
    <w:bookmarkStart w:id="25" w:name="proposed-delivery-sequence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Proposed delivery sequence</w:t>
      </w:r>
    </w:p>
    <w:bookmarkStart w:id="21" w:name="immediate-stabilization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Immediate stabilization</w:t>
      </w:r>
    </w:p>
    <w:p>
      <w:pPr>
        <w:pStyle w:val="Compact"/>
        <w:numPr>
          <w:ilvl w:val="0"/>
          <w:numId w:val="1010"/>
        </w:numPr>
      </w:pPr>
      <w:r>
        <w:t xml:space="preserve">Payment verification and merchant identity</w:t>
      </w:r>
    </w:p>
    <w:p>
      <w:pPr>
        <w:pStyle w:val="Compact"/>
        <w:numPr>
          <w:ilvl w:val="0"/>
          <w:numId w:val="1010"/>
        </w:numPr>
      </w:pPr>
      <w:r>
        <w:t xml:space="preserve">Empty-exam guard</w:t>
      </w:r>
    </w:p>
    <w:p>
      <w:pPr>
        <w:pStyle w:val="Compact"/>
        <w:numPr>
          <w:ilvl w:val="0"/>
          <w:numId w:val="1010"/>
        </w:numPr>
      </w:pPr>
      <w:r>
        <w:t xml:space="preserve">Catalog/content-count correction</w:t>
      </w:r>
    </w:p>
    <w:p>
      <w:pPr>
        <w:pStyle w:val="Compact"/>
        <w:numPr>
          <w:ilvl w:val="0"/>
          <w:numId w:val="1010"/>
        </w:numPr>
      </w:pPr>
      <w:r>
        <w:t xml:space="preserve">UAT-message removal</w:t>
      </w:r>
    </w:p>
    <w:p>
      <w:pPr>
        <w:pStyle w:val="Compact"/>
        <w:numPr>
          <w:ilvl w:val="0"/>
          <w:numId w:val="1010"/>
        </w:numPr>
      </w:pPr>
      <w:r>
        <w:t xml:space="preserve">Training review and analytics filtering fixes</w:t>
      </w:r>
    </w:p>
    <w:bookmarkEnd w:id="21"/>
    <w:bookmarkStart w:id="22" w:name="conversion-and-trust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Conversion and trust</w:t>
      </w:r>
    </w:p>
    <w:p>
      <w:pPr>
        <w:pStyle w:val="Compact"/>
        <w:numPr>
          <w:ilvl w:val="0"/>
          <w:numId w:val="1011"/>
        </w:numPr>
      </w:pPr>
      <w:r>
        <w:t xml:space="preserve">Shorter checkout</w:t>
      </w:r>
    </w:p>
    <w:p>
      <w:pPr>
        <w:pStyle w:val="Compact"/>
        <w:numPr>
          <w:ilvl w:val="0"/>
          <w:numId w:val="1011"/>
        </w:numPr>
      </w:pPr>
      <w:r>
        <w:t xml:space="preserve">Transparent total/fee display</w:t>
      </w:r>
    </w:p>
    <w:p>
      <w:pPr>
        <w:pStyle w:val="Compact"/>
        <w:numPr>
          <w:ilvl w:val="0"/>
          <w:numId w:val="1011"/>
        </w:numPr>
      </w:pPr>
      <w:r>
        <w:t xml:space="preserve">Branded verification, purchase, reset, and expiry emails</w:t>
      </w:r>
    </w:p>
    <w:p>
      <w:pPr>
        <w:pStyle w:val="Compact"/>
        <w:numPr>
          <w:ilvl w:val="0"/>
          <w:numId w:val="1011"/>
        </w:numPr>
      </w:pPr>
      <w:r>
        <w:t xml:space="preserve">Receipt reconciliation and clearer support route</w:t>
      </w:r>
    </w:p>
    <w:bookmarkEnd w:id="22"/>
    <w:bookmarkStart w:id="23" w:name="guided-learning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Guided learning</w:t>
      </w:r>
    </w:p>
    <w:p>
      <w:pPr>
        <w:pStyle w:val="Compact"/>
        <w:numPr>
          <w:ilvl w:val="0"/>
          <w:numId w:val="1012"/>
        </w:numPr>
      </w:pPr>
      <w:r>
        <w:t xml:space="preserve">Clean domain taxonomy</w:t>
      </w:r>
    </w:p>
    <w:p>
      <w:pPr>
        <w:pStyle w:val="Compact"/>
        <w:numPr>
          <w:ilvl w:val="0"/>
          <w:numId w:val="1012"/>
        </w:numPr>
      </w:pPr>
      <w:r>
        <w:t xml:space="preserve">Readiness-focused dashboard</w:t>
      </w:r>
    </w:p>
    <w:p>
      <w:pPr>
        <w:pStyle w:val="Compact"/>
        <w:numPr>
          <w:ilvl w:val="0"/>
          <w:numId w:val="1012"/>
        </w:numPr>
      </w:pPr>
      <w:r>
        <w:t xml:space="preserve">Recommended next action and weakest-area practice</w:t>
      </w:r>
    </w:p>
    <w:p>
      <w:pPr>
        <w:pStyle w:val="Compact"/>
        <w:numPr>
          <w:ilvl w:val="0"/>
          <w:numId w:val="1012"/>
        </w:numPr>
      </w:pPr>
      <w:r>
        <w:t xml:space="preserve">Mobile simulator compression and onboarding</w:t>
      </w:r>
    </w:p>
    <w:bookmarkEnd w:id="23"/>
    <w:bookmarkStart w:id="24" w:name="ongoing-assurance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Ongoing assurance</w:t>
      </w:r>
    </w:p>
    <w:p>
      <w:pPr>
        <w:pStyle w:val="Compact"/>
        <w:numPr>
          <w:ilvl w:val="0"/>
          <w:numId w:val="1013"/>
        </w:numPr>
      </w:pPr>
      <w:r>
        <w:t xml:space="preserve">Automated end-to-end release tests</w:t>
      </w:r>
    </w:p>
    <w:p>
      <w:pPr>
        <w:pStyle w:val="Compact"/>
        <w:numPr>
          <w:ilvl w:val="0"/>
          <w:numId w:val="1013"/>
        </w:numPr>
      </w:pPr>
      <w:r>
        <w:t xml:space="preserve">Accessibility regression checks</w:t>
      </w:r>
    </w:p>
    <w:p>
      <w:pPr>
        <w:pStyle w:val="Compact"/>
        <w:numPr>
          <w:ilvl w:val="0"/>
          <w:numId w:val="1013"/>
        </w:numPr>
      </w:pPr>
      <w:r>
        <w:t xml:space="preserve">Quarterly moderated usability studies</w:t>
      </w:r>
    </w:p>
    <w:p>
      <w:pPr>
        <w:pStyle w:val="Compact"/>
        <w:numPr>
          <w:ilvl w:val="0"/>
          <w:numId w:val="1013"/>
        </w:numPr>
      </w:pPr>
      <w:r>
        <w:t xml:space="preserve">Payment and data-security review before enabling live transactions</w:t>
      </w:r>
    </w:p>
    <w:bookmarkEnd w:id="24"/>
    <w:bookmarkEnd w:id="25"/>
    <w:bookmarkStart w:id="26" w:name="launch-readiness-statement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Launch readiness statement</w:t>
      </w:r>
    </w:p>
    <w:p>
      <w:pPr>
        <w:pStyle w:val="FirstParagraph"/>
      </w:pPr>
      <w:r>
        <w:t xml:space="preserve">PM Exam Pro’s core experience is working and demonstrates strong potential. After the immediate stabilization items are resolved and retested, the platform should be in a much stronger position for public acquisition: credible catalog promises, trustworthy payment, uninterrupted exam access, and analytics that clearly guide each learner’s next step.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2026-09-07T10:53:56Z</dcterms:created>
  <dcterms:modified xsi:type="dcterms:W3CDTF">2026-09-07T10:53:56Z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