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01A4C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line="240"/>
              <w:jc w:val="center"/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</w:pPr>
            <w:r>
              <w:t xml:space="preserve">DC CAP SCHOLARS</w:t>
            </w:r>
          </w:p>
          <w:p>
            <w:pPr>
              <w:spacing w:after="240" w:line="24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</w:rPr>
            </w:pPr>
            <w:r>
              <w:t xml:space="preserve">AI Leadership Pilot — Portfolio Summary</w:t>
            </w:r>
          </w:p>
          <w:p>
            <w:pPr>
              <w:spacing w:after="120" w:line="240"/>
              <w:jc w:val="center"/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</w:pPr>
            <w:r>
              <w:t xml:space="preserve">The Supported Pipeline: Real Work, Structured Checkpoints</w:t>
            </w:r>
          </w:p>
          <w:p>
            <w:pPr>
              <w:spacing w:line="240"/>
              <w:jc w:val="center"/>
              <w:rPr>
                <w:rFonts w:ascii="Georgia" w:cs="Georgia" w:eastAsia="Georgia" w:hAnsi="Georgia"/>
                <w:color w:val="FFFFFF"/>
                <w:sz w:val="22"/>
                <w:szCs w:val="22"/>
              </w:rPr>
            </w:pPr>
            <w:r>
              <w:t xml:space="preserve">Marcus Chen · Data &amp; Technology · May 1, 2026</w:t>
            </w:r>
          </w:p>
        </w:tc>
      </w:tr>
    </w:tbl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4"/>
          <w:szCs w:val="24"/>
        </w:rPr>
      </w:pPr>
      <w:r>
        <w:t xml:space="preserve">COMPETENCIES &amp; ASSESSMENT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Diligence, Description, Delegation, Discernment · Week 3-4 (April 18-May 1, 2026)</w:t>
      </w:r>
    </w:p>
    <w:p>
      <w:pPr>
        <w:spacing w:after="100" w:line="200"/>
        <w:jc w:val="left"/>
        <w:rPr>
          <w:rFonts w:ascii="Georgia" w:cs="Georgia" w:eastAsia="Georgia" w:hAnsi="Georgia"/>
          <w:b/>
          <w:bCs/>
          <w:color w:val="101A4C"/>
          <w:sz w:val="22"/>
          <w:szCs w:val="22"/>
        </w:rPr>
      </w:pPr>
      <w:r>
        <w:t xml:space="preserve">Final Assessment Level: Meets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PERFORMANCE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Dimension</w:t>
            </w:r>
          </w:p>
        </w:tc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Level</w:t>
            </w:r>
          </w:p>
        </w:tc>
        <w:tc>
          <w:tcPr>
            <w:shd w:fill="101A4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FFFFFF"/>
              </w:rPr>
            </w:pPr>
            <w:r>
              <w:t xml:space="preserve">Key Evidence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Real Governance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Correctly classified funder data request as Tier 2 (aggregated outcomes with small-cell risk); identified re-identification pathway between disaggregated demographics and public school data.</w:t>
            </w:r>
          </w:p>
        </w:tc>
      </w:tr>
      <w:tr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CTCC Prompt Quality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Prompt included all four components (Context: funder context and use case; Task: generate aggregated summary; Constraints: Tier 2 handling, flag cells N&lt;10; Content: scholar outcome data parameters). Governance constraints explicitly embedded.</w:t>
            </w:r>
          </w:p>
        </w:tc>
      </w:tr>
      <w:t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Modality Judgment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Exceeds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Selected Automation for data aggregation (Claude handles query framework) + Augmentation for narrative drafting (human adds strategic context). Clear articulation of why data governance verification is human-only.</w:t>
            </w:r>
          </w:p>
        </w:tc>
      </w:tr>
      <w:tr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Output Audit Rigor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/>
                <w:bCs/>
                <w:color w:val="101A4C"/>
              </w:rPr>
            </w:pPr>
            <w:r>
              <w:t xml:space="preserve">Meets</w:t>
            </w:r>
          </w:p>
        </w:tc>
        <w:tc>
          <w:tcPr>
            <w:shd w:fill="FFF4E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40"/>
              <w:jc w:val="left"/>
              <w:rPr>
                <w:b w:val="false"/>
                <w:bCs w:val="false"/>
                <w:color w:val="101A4C"/>
              </w:rPr>
            </w:pPr>
            <w:r>
              <w:t xml:space="preserve">Documented six edits with tags (3 Accuracy Fixes, 2 Strategic Additions, 1 Removal). All edits tied back to governance compliance or prompt clarity. Human judgment layer addressed verification steps for small-cell suppression.</w:t>
            </w:r>
          </w:p>
        </w:tc>
      </w:tr>
    </w:tbl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GROWTH STORY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Task 1 gave you the framework in a controlled scenario; Task 2 tested it on real work with no answer key. Your governance classification was stronger in Task 2 — you moved faster and caught a Tier 2 edge case (small-cell risk in demographic breakdowns) that the Task 1 scenarios hadn't explicitly emphasized. The prompt design was solid but revealed an opportunity for Task 3: your first-pass prompts work well, but you didn't iterate them based on governance constraints. You know the framework; now the growth edge is treating prompt refinement as a governance exercise, not an afterthought. This is the threshold between correct-once and refined-repeatedly.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PARTICIPANT REFLECTION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"Task 1 was theoretical with an answer key; Task 2 was your actual work with no safety net. What was different about classifying real data vs. the scenario data?"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Real data made it concrete. I know our funder relationships, I know the exact fields in our data, I know which partner institutions have small scholar populations. All that context meant I wasn't memorizing tier definitions — I was mapping our actual governance risks. The small-cell issue in the demographics data? That's specific to a funder request I handle quarterly. Task 2 made the framework stick because it was about my real work.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FACILITATOR INSIGHT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Pattern: Transfers Task 1 framework to real work with confidence and speed. Governance classification remains accurate; prompt design is solid on first pass. Growth edge is iterative refinement — this participant moves to correct, where some others in the cohort iterate once or twice before submitting. Ready to challenge them on prompt refinement in Task 3.</w:t>
      </w:r>
    </w:p>
    <w:p/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For Peer Discussion: "Marcus classified real funder data faster than the Task 1 scenarios. What made real data easier to classify? Can we build that confidence — the confidence that comes from knowing your actual work — into how we approach new governance challenges we haven't seen before?"</w:t>
      </w:r>
    </w:p>
    <w:p/>
    <w:p>
      <w:pPr>
        <w:spacing w:after="200" w:line="200"/>
        <w:jc w:val="left"/>
        <w:rPr>
          <w:rFonts w:ascii="Arial" w:cs="Arial" w:eastAsia="Arial" w:hAnsi="Arial"/>
          <w:b/>
          <w:bCs/>
          <w:color w:val="8352FF"/>
          <w:sz w:val="26"/>
          <w:szCs w:val="26"/>
        </w:rPr>
      </w:pPr>
      <w:r>
        <w:t xml:space="preserve">LEARNING TRAJECTORY</w:t>
      </w:r>
    </w:p>
    <w:p>
      <w:pPr>
        <w:spacing w:after="100" w:line="200"/>
        <w:jc w:val="left"/>
        <w:rPr>
          <w:rFonts w:ascii="Georgia" w:cs="Georgia" w:eastAsia="Georgia" w:hAnsi="Georgia"/>
          <w:b w:val="false"/>
          <w:bCs w:val="false"/>
          <w:color w:val="101A4C"/>
          <w:sz w:val="22"/>
          <w:szCs w:val="22"/>
        </w:rPr>
      </w:pPr>
      <w:r>
        <w:t xml:space="preserve">Task 1 → Task 2: Classification Accuracy remained Meets; speed improved dramatically. Reasoning Specificity moved from Approaching (vague combination analysis) to Meets (traced re-identification pathways clearly). This is the transfer you'd want to see — theory becomes fast, automatic practice. Modality Judgment jumped from no baseline to Exceeds because Marcus understood why humans handle data governance verification. The cohort should notice this: real work made everything clearer. Auditing is still a growth edge — Marcus's first-pass audit was thorough but didn't identify as many optimization opportunities as peers who iterated more. Ready for Task 3 with recommendation to iterate prompts at least once before submission.</w:t>
      </w:r>
    </w:p>
    <w:p/>
    <w:p/>
    <w:p>
      <w:pPr>
        <w:spacing w:after="100" w:line="200"/>
        <w:jc w:val="center"/>
        <w:rPr>
          <w:rFonts w:ascii="Georgia" w:cs="Georgia" w:eastAsia="Georgia" w:hAnsi="Georgia"/>
          <w:b w:val="false"/>
          <w:bCs w:val="false"/>
          <w:color w:val="101A4C"/>
          <w:sz w:val="20"/>
          <w:szCs w:val="20"/>
        </w:rPr>
      </w:pPr>
      <w:r>
        <w:t xml:space="preserve">DC CAP · dccapscholars.org</w:t>
      </w:r>
    </w:p>
    <w:p>
      <w:pPr>
        <w:spacing w:after="100" w:line="200"/>
        <w:jc w:val="center"/>
        <w:rPr>
          <w:rFonts w:ascii="Georgia" w:cs="Georgia" w:eastAsia="Georgia" w:hAnsi="Georgia"/>
          <w:b w:val="false"/>
          <w:bCs w:val="false"/>
          <w:color w:val="101A4C"/>
          <w:sz w:val="20"/>
          <w:szCs w:val="20"/>
        </w:rPr>
      </w:pPr>
      <w:r>
        <w:t xml:space="preserve">AI Deployment Leadership Training Pilot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2026-04-10T11:13:50.872Z</dcterms:created>
  <dcterms:modified xsi:type="dcterms:W3CDTF">2026-04-10T11:13:50.872Z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