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01A4C"/>
            <w:tcMar>
              <w:top w:type="dxa" w:w="200"/>
              <w:left w:type="dxa" w:w="200"/>
              <w:bottom w:type="dxa" w:w="200"/>
              <w:right w:type="dxa" w:w="200"/>
            </w:tcMar>
          </w:tcPr>
          <w:p>
            <w:pPr>
              <w:spacing w:line="240"/>
              <w:jc w:val="center"/>
              <w:rPr>
                <w:rFonts w:ascii="Arial" w:cs="Arial" w:eastAsia="Arial" w:hAnsi="Arial"/>
                <w:b/>
                <w:bCs/>
                <w:color w:val="FFFFFF"/>
                <w:sz w:val="48"/>
                <w:szCs w:val="48"/>
              </w:rPr>
            </w:pPr>
            <w:r>
              <w:t xml:space="preserve">DC CAP SCHOLARS</w:t>
            </w:r>
          </w:p>
          <w:p>
            <w:pPr>
              <w:spacing w:after="240" w:line="240"/>
              <w:jc w:val="center"/>
              <w:rPr>
                <w:rFonts w:ascii="Arial" w:cs="Arial" w:eastAsia="Arial" w:hAnsi="Arial"/>
                <w:color w:val="FFFFFF"/>
                <w:sz w:val="28"/>
                <w:szCs w:val="28"/>
              </w:rPr>
            </w:pPr>
            <w:r>
              <w:t xml:space="preserve">AI Leadership Pilot — Task Portfolio</w:t>
            </w:r>
          </w:p>
          <w:p>
            <w:pPr>
              <w:spacing w:after="120" w:line="240"/>
              <w:jc w:val="center"/>
              <w:rPr>
                <w:rFonts w:ascii="Arial" w:cs="Arial" w:eastAsia="Arial" w:hAnsi="Arial"/>
                <w:b/>
                <w:bCs/>
                <w:color w:val="FFFFFF"/>
                <w:sz w:val="44"/>
                <w:szCs w:val="44"/>
              </w:rPr>
            </w:pPr>
            <w:r>
              <w:t xml:space="preserve">The Governance Walk</w:t>
            </w:r>
          </w:p>
          <w:p>
            <w:pPr>
              <w:spacing w:line="240"/>
              <w:jc w:val="center"/>
              <w:rPr>
                <w:rFonts w:ascii="Georgia" w:cs="Georgia" w:eastAsia="Georgia" w:hAnsi="Georgia"/>
                <w:color w:val="FFFFFF"/>
                <w:sz w:val="22"/>
                <w:szCs w:val="22"/>
              </w:rPr>
            </w:pPr>
            <w:r>
              <w:t xml:space="preserve">Keisha Williams · Student Success · April 9, 2026</w:t>
            </w:r>
          </w:p>
        </w:tc>
      </w:tr>
    </w:tbl>
    <w:p/>
    <w:p>
      <w:pPr>
        <w:spacing w:after="200" w:line="200"/>
        <w:jc w:val="left"/>
        <w:rPr>
          <w:rFonts w:ascii="Arial" w:cs="Arial" w:eastAsia="Arial" w:hAnsi="Arial"/>
          <w:b/>
          <w:bCs/>
          <w:color w:val="8352FF"/>
          <w:sz w:val="28"/>
          <w:szCs w:val="28"/>
        </w:rPr>
      </w:pPr>
      <w:r>
        <w:t xml:space="preserve">TASK OVERVIEW</w:t>
      </w:r>
    </w:p>
    <w:p>
      <w:pPr>
        <w:spacing w:after="100" w:line="200"/>
        <w:jc w:val="left"/>
        <w:rPr>
          <w:rFonts w:ascii="Georgia" w:cs="Georgia" w:eastAsia="Georgia" w:hAnsi="Georgia"/>
          <w:b w:val="false"/>
          <w:bCs w:val="false"/>
          <w:color w:val="101A4C"/>
          <w:sz w:val="22"/>
          <w:szCs w:val="22"/>
        </w:rPr>
      </w:pPr>
      <w:r>
        <w:t xml:space="preserve">Competency: Diligence</w:t>
      </w:r>
    </w:p>
    <w:p>
      <w:pPr>
        <w:spacing w:after="100" w:line="200"/>
        <w:jc w:val="left"/>
        <w:rPr>
          <w:rFonts w:ascii="Georgia" w:cs="Georgia" w:eastAsia="Georgia" w:hAnsi="Georgia"/>
          <w:b w:val="false"/>
          <w:bCs w:val="false"/>
          <w:color w:val="101A4C"/>
          <w:sz w:val="22"/>
          <w:szCs w:val="22"/>
        </w:rPr>
      </w:pPr>
      <w:r>
        <w:t xml:space="preserve">Week: 1 (April 6-9)</w:t>
      </w:r>
    </w:p>
    <w:p>
      <w:pPr>
        <w:spacing w:after="100" w:line="200"/>
        <w:jc w:val="left"/>
        <w:rPr>
          <w:rFonts w:ascii="Georgia" w:cs="Georgia" w:eastAsia="Georgia" w:hAnsi="Georgia"/>
          <w:b w:val="false"/>
          <w:bCs w:val="false"/>
          <w:color w:val="101A4C"/>
          <w:sz w:val="22"/>
          <w:szCs w:val="22"/>
        </w:rPr>
      </w:pPr>
      <w:r>
        <w:t xml:space="preserve">Success Criteria: Correctly classify 3 data scenarios using DC CAP's four-tier governance framework with specific reasoning, combination analysis, and governance actions.</w:t>
      </w:r>
    </w:p>
    <w:p/>
    <w:p>
      <w:pPr>
        <w:spacing w:after="200" w:line="200"/>
        <w:jc w:val="left"/>
        <w:rPr>
          <w:rFonts w:ascii="Arial" w:cs="Arial" w:eastAsia="Arial" w:hAnsi="Arial"/>
          <w:b/>
          <w:bCs/>
          <w:color w:val="8352FF"/>
          <w:sz w:val="28"/>
          <w:szCs w:val="28"/>
        </w:rPr>
      </w:pPr>
      <w:r>
        <w:t xml:space="preserve">INITIAL SUBMISSION</w:t>
      </w:r>
    </w:p>
    <w:p>
      <w:pPr>
        <w:spacing w:after="100" w:line="200"/>
        <w:jc w:val="left"/>
        <w:rPr>
          <w:rFonts w:ascii="Georgia" w:cs="Georgia" w:eastAsia="Georgia" w:hAnsi="Georgia"/>
          <w:b w:val="false"/>
          <w:bCs w:val="false"/>
          <w:color w:val="101A4C"/>
          <w:sz w:val="22"/>
          <w:szCs w:val="22"/>
        </w:rPr>
      </w:pPr>
      <w:r>
        <w:t xml:space="preserve">SCENARIO A: Disbursement amounts by university
Tier Assignment: Tier 2 (Sensitive)
Reasoning: The spreadsheet contains internal financial records showing disbursement totals broken down by university partner and award type. While no individual student names are attached, the disaggregation by university could enable inference about individual awards at smaller partner institutions. The specific data elements that drove this classification are the disbursement amounts (financial records) and the university-level breakdown (potential re-identification pathway).
Combination Test: If this data were combined with a public roster of DC CAP scholars by university, the disbursement amounts could be linked to approximate individual award sizes at smaller institutions where the number of scholars is low. This would escalate the sensitivity and create a personal financial profile.
Governance Action: Restricted access, role-specific. Requires de-identification verification before upload to Claude. 30-day retention. Not for open access within the organization.
SCENARIO B: Email thread with student information
Tier Assignment: Tier 1 (Restricted)
Reasoning: This email contains individual PII (student name), FERPA-protected data (academic records and GPA), and family information (academic struggles and family hardship). These are the key data elements that trigger Tier 1 classification. The linkage of a named individual to academic performance and family circumstances creates comprehensive personal profile that is legally protected.
Combination Test: This scenario is already at the highest tier. Combination with other data does not escalate it further, but combining it with Scenario A's financial data would create a complete student profile linking name + grades + family situation + financial aid amount, which would be extremely sensitive.
Governance Action: PROHIBITED. Never upload to Claude in any form without explicit board authorization and legal review. No exceptions.
SCENARIO C: Board presentation with Ward-level persistence
Tier Assignment: Tier 2 (Sensitive)
Reasoning: While overall persistence rates (87%) are de-identified aggregates that could be Tier 3, the Ward-level breakdown includes one Ward with only 6 scholars. This falls below the N&lt;10 small-cell threshold in the aggregation guidance, which makes re-identification possible through cross-referencing with public data about school locations and DC CAP partner lists.
Combination Test: If combined with public information about which schools operate in that specific Ward and DC CAP's published partner school list, the 6 scholars in that Ward could potentially be identified. The small cell size is the key trigger that escalates this from aggregated data to re-identifiable aggregate.
Governance Action: Restricted access. The slide could be shared if the small-cell Ward is suppressed or combined with an adjacent Ward to bring N above 10. In current form, requires de-identification verification before use with AI tools.</w:t>
      </w:r>
    </w:p>
    <w:p/>
    <w:p>
      <w:pPr>
        <w:spacing w:after="200" w:line="200"/>
        <w:jc w:val="left"/>
        <w:rPr>
          <w:rFonts w:ascii="Arial" w:cs="Arial" w:eastAsia="Arial" w:hAnsi="Arial"/>
          <w:b/>
          <w:bCs/>
          <w:color w:val="8352FF"/>
          <w:sz w:val="28"/>
          <w:szCs w:val="28"/>
        </w:rPr>
      </w:pPr>
      <w:r>
        <w:t xml:space="preserve">ASSESSMENT</w:t>
      </w:r>
    </w:p>
    <w:p>
      <w:pPr>
        <w:spacing w:after="100" w:line="200"/>
        <w:jc w:val="left"/>
        <w:rPr>
          <w:rFonts w:ascii="Georgia" w:cs="Georgia" w:eastAsia="Georgia" w:hAnsi="Georgia"/>
          <w:b w:val="false"/>
          <w:bCs w:val="false"/>
          <w:color w:val="101A4C"/>
          <w:sz w:val="22"/>
          <w:szCs w:val="22"/>
        </w:rPr>
      </w:pPr>
      <w:r>
        <w:t xml:space="preserve">## Task 1 Assessment: The Governance Walk
### Participant: Keisha Williams
Your Scenario B classification is strong — you nailed the FERPA reasoning and the prohibition logic. Scenarios A and C both need refinement in how you connect the small-cell threshold concept, which is a single underlying principle that will fix both classifications.
---
### Scenario A: Disbursement amounts by university, no student names
**Tier Assignment:** Tier 2 (Sensitive) → Correct
| Dimension | Level | Key Evidence |
|-----------|-------|-------------|
| Classification Accuracy | Meets | Correct tier with adequate recognition of financial records as Tier 2 data. |
| Reasoning Specificity | Meets | Named specific data elements: disbursement amounts, university-level breakdown, potential for inference. |
| Combination Awareness | Approaching | Identified roster combination but reasoning about re-identification pathway is vague (didn't explain why small universities create the risk). |
| Governance Application | Meets | Correct tier-specific handling: restricted access, de-identification verification, 30-day retention. |
**What worked:** You correctly identified this as Tier 2 (not Tier 3) and you named the specific data elements (disbursement amounts, university breakdown) that drove the classification. Your governance actions are complete and framework-aligned.
**Where to strengthen:** The combination analysis would be stronger if you explained the mechanism of re-identification. The risk isn't just that the roster exists — it's that at a small university (say, 12 total scholars), knowing the breakdown of award types and totals could let someone estimate individual awards. Walk through that inference pathway in your revision.
---
### Scenario B: Email thread with student PII and academic records
**Tier Assignment:** Tier 1 (Restricted) → Correct
| Dimension | Level | Key Evidence |
|-----------|-------|-------------|
| Classification Accuracy | Exceeds | Correct tier with nuanced understanding of FERPA protection and the linkage of name to academic/family data. |
| Reasoning Specificity | Exceeds | Named exact protected elements: student name, GPA, academic struggles, family hardship. Explained why each matters to Tier 1. |
| Combination Awareness | Meets | Correctly noted that Tier 1 cannot escalate further, but identified the profile-creation risk with Scenario A. |
| Governance Application | Exceeds | Correct prohibition language, noted legal review requirement, understood no exceptions. |
**What worked:** This is your strongest work. You understood not just that the data is sensitive, but *why* — the FERPA protection and the personal profile created by linking name to academic/family info. Your governance action (prohibition with legal review pathway) is correct and complete.
---
### Scenario C: Board slide with Ward-level persistence and small cell (N=6)
**Tier Assignment:** Tier 2 (Sensitive) → Correct
| Dimension | Level | Key Evidence |
|-----------|-------|-------------|
| Classification Accuracy | Meets | Correct tier, but reasoning doesn't clearly explain why aggregates become re-identifiable at small cells. |
| Reasoning Specificity | Approaching | Mentioned N&lt;10 threshold and "small-cell aggregates," but didn't isolate the specific data fields that create risk (the persistence %s at low N). |
| Combination Awareness | Approaching | Identified combination with school location data, but didn't explain why public school rosters + DC CAP partner list enable the re-identification. |
| Governance Application | Meets | Correct handling for Tier 2: de-identification verification before AI use, but could note suppression as an alternative remediation. |
**What worked:** You got the tier right and you named the N&lt;10 threshold, which shows you read the framework. Your governance action is correct for the tier.
**Where to strengthen:** The small-cell concept is the most operationally important threshold at DC CAP, so this is worth solidifying. The principle is: once a cell size drops below 10, you can cross-reference public data (school lists) with an organization's known presence to identify individuals. In your revision, explain why knowing that DC CAP has 6 scholars in Ward X, plus knowing which schools are in Ward X, plus knowing which DC CAP scholars are at those schools would enable identification. This is the same principle that triggered Tier 2 for Scenario A's university-level disbursements.
### Coaching Question
In Scenarios A and C, you correctly classified the tier but your combination analysis didn't trace the re-identification pathway. Here's the pattern: both are aggregates (university disbursements, Ward persistence rates) that become risky when paired with public information. What do Scenario A's "small university" risk and Scenario C's "small Ward" risk have in common? If you can name that pattern, you'll solidify why the N&lt;10 threshold matters.
### Revision Guidance
Focus on these improvements, ordered by impact:
1. **Scenario C — Combination Awareness:** Explain the re-identification mechanism step-by-step. "Knowing that DC CAP has 6 scholars in Ward X + knowing DC CAP partners with schools Y and Z in Ward X + cross-referencing with public school rosters = risk of identifying those 6 individuals." This is what makes Tier 2 the right call.
2. **Scenario A — Combination Awareness:** Extend your reasoning about small universities. Explain why a university with 12 total scholars poses more risk than one with 100. The smaller the denominator, the more reliably you can infer individual values from the aggregate.
3. **Scenario C — Reasoning Specificity:** Name the exact data fields that triggered Tier 2. It's not just "the Ward breakdown" — it's specifically the persistence percentages at the Ward level when one Ward has N=6, combined with the aggregation guidance threshold.
Ready to revise? Update your memo and come back with "Here is my revision."</w:t>
      </w:r>
    </w:p>
    <w:p/>
    <w:p>
      <w:pPr>
        <w:spacing w:after="200" w:line="200"/>
        <w:jc w:val="left"/>
        <w:rPr>
          <w:rFonts w:ascii="Arial" w:cs="Arial" w:eastAsia="Arial" w:hAnsi="Arial"/>
          <w:b/>
          <w:bCs/>
          <w:color w:val="8352FF"/>
          <w:sz w:val="28"/>
          <w:szCs w:val="28"/>
        </w:rPr>
      </w:pPr>
      <w:r>
        <w:t xml:space="preserve">REVISED SUBMISSION</w:t>
      </w:r>
    </w:p>
    <w:p>
      <w:pPr>
        <w:spacing w:after="100" w:line="200"/>
        <w:jc w:val="left"/>
        <w:rPr>
          <w:rFonts w:ascii="Georgia" w:cs="Georgia" w:eastAsia="Georgia" w:hAnsi="Georgia"/>
          <w:b w:val="false"/>
          <w:bCs w:val="false"/>
          <w:color w:val="101A4C"/>
          <w:sz w:val="22"/>
          <w:szCs w:val="22"/>
        </w:rPr>
      </w:pPr>
      <w:r>
        <w:t xml:space="preserve">SCENARIO A: Disbursement amounts by university
Tier Assignment: Tier 2 (Sensitive)
Reasoning: The spreadsheet contains internal financial records showing disbursement totals broken down by university partner and award type. While no individual student names are attached, the disaggregation by university could enable inference about individual awards at smaller partner institutions. The specific data elements that drove this classification are the disbursement amounts (financial records), the university-level breakdown, and the partner institution size variation. At a small partner university with 12 total DC CAP scholars, knowing the breakdown of award types and the totals for each type would allow someone to estimate or reverse-engineer individual award amounts.
Combination Test: If this data were combined with a public roster of DC CAP scholars by university, the disbursement amounts would create a re-identification pathway. At a smaller university with fewer scholars, cross-referencing the total disbursements by award type with the known scholar count would enable inference of individual award sizes. At a larger institution with 100+ scholars, the same aggregated disbursements would be much harder to trace back to individuals because the denominators are larger. This is why small partner institutions pose the re-identification risk.
Governance Action: Restricted access, role-specific. Requires de-identification verification before upload to Claude. 30-day retention. Not for open access within the organization.
SCENARIO B: Email thread with student information
Tier Assignment: Tier 1 (Restricted)
Reasoning: This email contains individual PII (student name), FERPA-protected data (academic records and GPA), and family information (academic struggles and family hardship). These are the key data elements that trigger Tier 1 classification. The linkage of a named individual to academic performance and family circumstances creates comprehensive personal profile that is legally protected.
Combination Test: This scenario is already at the highest tier. Combination with other data does not escalate it further, but combining it with Scenario A's financial data would create a complete student profile linking name + grades + family situation + financial aid amount, which would be extremely sensitive.
Governance Action: PROHIBITED. Never upload to Claude in any form without explicit board authorization and legal review. No exceptions.
SCENARIO C: Board presentation with Ward-level persistence
Tier Assignment: Tier 2 (Sensitive)
Reasoning: While overall persistence rates (87%) are de-identified aggregates that could be Tier 3/Internal, the Ward-level breakdown includes one Ward with only 6 scholars. This falls below the N&lt;10 small-cell threshold in the aggregation guidance. The specific data fields that triggered Tier 2 are: (1) the persistence percentages disaggregated by Ward, and (2) the fact that one Ward has N=6, which is below the threshold. At this cell size, re-identification becomes possible through cross-referencing.
Combination Test: If combined with public information about which schools operate in a specific Ward and DC CAP's published partner school list, the 6 scholars in that Ward could potentially be identified. The mechanism works like this: knowing that DC CAP has 6 scholars in Ward X, plus knowing which schools DC CAP partners with in Ward X, plus cross-referencing those schools with public enrollment rosters would enable identification of those 6 individuals. This is the same re-identification principle as Scenario A: the smaller the denominator, the more reliably you can infer or identify the individuals in that group.
Governance Action: Restricted access. The slide could be shared if the small-cell Ward is suppressed or combined with an adjacent Ward to bring N above 10. In current form, requires de-identification verification before use with AI tools.</w:t>
      </w:r>
    </w:p>
    <w:p/>
    <w:p>
      <w:pPr>
        <w:spacing w:after="200" w:line="200"/>
        <w:jc w:val="left"/>
        <w:rPr>
          <w:rFonts w:ascii="Arial" w:cs="Arial" w:eastAsia="Arial" w:hAnsi="Arial"/>
          <w:b/>
          <w:bCs/>
          <w:color w:val="8352FF"/>
          <w:sz w:val="28"/>
          <w:szCs w:val="28"/>
        </w:rPr>
      </w:pPr>
      <w:r>
        <w:t xml:space="preserve">GROWTH TRAJECTORY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01A4C"/>
            <w:tcMar>
              <w:top w:type="dxa" w:w="100"/>
              <w:left w:type="dxa" w:w="100"/>
              <w:bottom w:type="dxa" w:w="100"/>
              <w:right w:type="dxa" w:w="100"/>
            </w:tcMar>
            <w:vAlign w:val="center"/>
          </w:tcPr>
          <w:p>
            <w:pPr>
              <w:spacing w:line="240"/>
              <w:jc w:val="left"/>
              <w:rPr>
                <w:b/>
                <w:bCs/>
                <w:color w:val="FFFFFF"/>
              </w:rPr>
            </w:pPr>
            <w:r>
              <w:t xml:space="preserve">Dimension</w:t>
            </w:r>
          </w:p>
        </w:tc>
        <w:tc>
          <w:tcPr>
            <w:shd w:fill="101A4C"/>
            <w:tcMar>
              <w:top w:type="dxa" w:w="100"/>
              <w:left w:type="dxa" w:w="100"/>
              <w:bottom w:type="dxa" w:w="100"/>
              <w:right w:type="dxa" w:w="100"/>
            </w:tcMar>
            <w:vAlign w:val="center"/>
          </w:tcPr>
          <w:p>
            <w:pPr>
              <w:spacing w:line="240"/>
              <w:jc w:val="left"/>
              <w:rPr>
                <w:b/>
                <w:bCs/>
                <w:color w:val="FFFFFF"/>
              </w:rPr>
            </w:pPr>
            <w:r>
              <w:t xml:space="preserve">Initial Level</w:t>
            </w:r>
          </w:p>
        </w:tc>
        <w:tc>
          <w:tcPr>
            <w:shd w:fill="101A4C"/>
            <w:tcMar>
              <w:top w:type="dxa" w:w="100"/>
              <w:left w:type="dxa" w:w="100"/>
              <w:bottom w:type="dxa" w:w="100"/>
              <w:right w:type="dxa" w:w="100"/>
            </w:tcMar>
            <w:vAlign w:val="center"/>
          </w:tcPr>
          <w:p>
            <w:pPr>
              <w:spacing w:line="240"/>
              <w:jc w:val="left"/>
              <w:rPr>
                <w:b/>
                <w:bCs/>
                <w:color w:val="FFFFFF"/>
              </w:rPr>
            </w:pPr>
            <w:r>
              <w:t xml:space="preserve">Revised Level</w:t>
            </w:r>
          </w:p>
        </w:tc>
        <w:tc>
          <w:tcPr>
            <w:shd w:fill="101A4C"/>
            <w:tcMar>
              <w:top w:type="dxa" w:w="100"/>
              <w:left w:type="dxa" w:w="100"/>
              <w:bottom w:type="dxa" w:w="100"/>
              <w:right w:type="dxa" w:w="100"/>
            </w:tcMar>
            <w:vAlign w:val="center"/>
          </w:tcPr>
          <w:p>
            <w:pPr>
              <w:spacing w:line="240"/>
              <w:jc w:val="left"/>
              <w:rPr>
                <w:b/>
                <w:bCs/>
                <w:color w:val="FFFFFF"/>
              </w:rPr>
            </w:pPr>
            <w:r>
              <w:t xml:space="preserve">What Changed</w:t>
            </w:r>
          </w:p>
        </w:tc>
      </w:tr>
      <w:tr>
        <w:tc>
          <w:tcPr>
            <w:shd w:fill="FFFFFF"/>
            <w:tcMar>
              <w:top w:type="dxa" w:w="100"/>
              <w:left w:type="dxa" w:w="100"/>
              <w:bottom w:type="dxa" w:w="100"/>
              <w:right w:type="dxa" w:w="100"/>
            </w:tcMar>
            <w:vAlign w:val="center"/>
          </w:tcPr>
          <w:p>
            <w:pPr>
              <w:spacing w:line="240"/>
              <w:jc w:val="left"/>
              <w:rPr>
                <w:b w:val="false"/>
                <w:bCs w:val="false"/>
                <w:color w:val="101A4C"/>
              </w:rPr>
            </w:pPr>
            <w:r>
              <w:t xml:space="preserve">Classification Accuracy</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Classification remained correct across all three scenarios. No accuracy changes needed — the tier assignments were solid from the start.</w:t>
            </w:r>
          </w:p>
        </w:tc>
      </w:tr>
      <w:tr>
        <w:tc>
          <w:tcPr>
            <w:shd w:fill="FFF4ED"/>
            <w:tcMar>
              <w:top w:type="dxa" w:w="100"/>
              <w:left w:type="dxa" w:w="100"/>
              <w:bottom w:type="dxa" w:w="100"/>
              <w:right w:type="dxa" w:w="100"/>
            </w:tcMar>
            <w:vAlign w:val="center"/>
          </w:tcPr>
          <w:p>
            <w:pPr>
              <w:spacing w:line="240"/>
              <w:jc w:val="left"/>
              <w:rPr>
                <w:b w:val="false"/>
                <w:bCs w:val="false"/>
                <w:color w:val="101A4C"/>
              </w:rPr>
            </w:pPr>
            <w:r>
              <w:t xml:space="preserve">Reasoning Specificity</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Exceeds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Expanded to explicitly name the N&lt;10 threshold in Scenario C and explained why small universities create re-identification risk in Scenario A. Moved from generally naming data elements to specifying why field-level details matter.</w:t>
            </w:r>
          </w:p>
        </w:tc>
      </w:tr>
      <w:tr>
        <w:tc>
          <w:tcPr>
            <w:shd w:fill="FFFFFF"/>
            <w:tcMar>
              <w:top w:type="dxa" w:w="100"/>
              <w:left w:type="dxa" w:w="100"/>
              <w:bottom w:type="dxa" w:w="100"/>
              <w:right w:type="dxa" w:w="100"/>
            </w:tcMar>
            <w:vAlign w:val="center"/>
          </w:tcPr>
          <w:p>
            <w:pPr>
              <w:spacing w:line="240"/>
              <w:jc w:val="left"/>
              <w:rPr>
                <w:b w:val="false"/>
                <w:bCs w:val="false"/>
                <w:color w:val="101A4C"/>
              </w:rPr>
            </w:pPr>
            <w:r>
              <w:t xml:space="preserve">Combination Awareness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Approaching</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Traced the re-identification pathway step-by-step in both Scenarios A and C. Explained the inference mechanism (small denominator + public data = individual identification) and showed how it applies across both scenarios.</w:t>
            </w:r>
          </w:p>
        </w:tc>
      </w:tr>
      <w:tr>
        <w:tc>
          <w:tcPr>
            <w:shd w:fill="FFF4ED"/>
            <w:tcMar>
              <w:top w:type="dxa" w:w="100"/>
              <w:left w:type="dxa" w:w="100"/>
              <w:bottom w:type="dxa" w:w="100"/>
              <w:right w:type="dxa" w:w="100"/>
            </w:tcMar>
            <w:vAlign w:val="center"/>
          </w:tcPr>
          <w:p>
            <w:pPr>
              <w:spacing w:line="240"/>
              <w:jc w:val="left"/>
              <w:rPr>
                <w:b w:val="false"/>
                <w:bCs w:val="false"/>
                <w:color w:val="101A4C"/>
              </w:rPr>
            </w:pPr>
            <w:r>
              <w:t xml:space="preserve">Governance Application</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Governance actions remained correct and framework-aligned. Added suppression as a practical remediation option for Scenario C.</w:t>
            </w:r>
          </w:p>
        </w:tc>
      </w:tr>
    </w:tbl>
    <w:p/>
    <w:p>
      <w:pPr>
        <w:spacing w:after="100" w:line="200"/>
        <w:jc w:val="left"/>
        <w:rPr>
          <w:rFonts w:ascii="Georgia" w:cs="Georgia" w:eastAsia="Georgia" w:hAnsi="Georgia"/>
          <w:b/>
          <w:bCs/>
          <w:color w:val="101A4C"/>
          <w:sz w:val="22"/>
          <w:szCs w:val="22"/>
        </w:rPr>
      </w:pPr>
      <w:r>
        <w:t xml:space="preserve">Overall Readiness: Ready for peer exchange. Strong foundation in data classification with demonstrated ability to apply small-cell thresholds and trace re-identification pathways. Scenario B (Tier 1 prohibition) is exemplary. Ready to apply this rigor to prompt design and AI delegation decisions in Task 2.</w:t>
      </w:r>
    </w:p>
    <w:p/>
    <w:p>
      <w:pPr>
        <w:spacing w:after="200" w:line="200"/>
        <w:jc w:val="left"/>
        <w:rPr>
          <w:rFonts w:ascii="Arial" w:cs="Arial" w:eastAsia="Arial" w:hAnsi="Arial"/>
          <w:b/>
          <w:bCs/>
          <w:color w:val="8352FF"/>
          <w:sz w:val="28"/>
          <w:szCs w:val="28"/>
        </w:rPr>
      </w:pPr>
      <w:r>
        <w:t xml:space="preserve">PARTICIPANT REFLECTION</w:t>
      </w:r>
    </w:p>
    <w:p>
      <w:pPr>
        <w:spacing w:after="100" w:line="200"/>
        <w:jc w:val="left"/>
        <w:rPr>
          <w:rFonts w:ascii="Georgia" w:cs="Georgia" w:eastAsia="Georgia" w:hAnsi="Georgia"/>
          <w:b w:val="false"/>
          <w:bCs w:val="false"/>
          <w:color w:val="101A4C"/>
          <w:sz w:val="22"/>
          <w:szCs w:val="22"/>
        </w:rPr>
      </w:pPr>
      <w:r>
        <w:t xml:space="preserve">Your strongest dimension was Classification Accuracy and Governance Application, where you correctly identified all three tiers and their handling requirements. Your widest growth area was Combination Awareness. Look at Scenarios A and C — they're both aggregates that become risky at small cells. What made combination analysis harder for you than straight tier classification?</w:t>
      </w:r>
    </w:p>
    <w:p>
      <w:pPr>
        <w:spacing w:after="100" w:line="200"/>
        <w:jc w:val="left"/>
        <w:rPr>
          <w:rFonts w:ascii="Georgia" w:cs="Georgia" w:eastAsia="Georgia" w:hAnsi="Georgia"/>
          <w:b w:val="false"/>
          <w:bCs w:val="false"/>
          <w:color w:val="101A4C"/>
          <w:sz w:val="22"/>
          <w:szCs w:val="22"/>
        </w:rPr>
      </w:pPr>
      <w:r>
        <w:t xml:space="preserve">I think the tier classification felt more straightforward because the framework definitions are clear — I can check off whether something has PII, FERPA data, small cells, etc. But the combination analysis required me to think about how data could be used together, which meant imagining attack vectors I hadn't encountered. For Scenario A, I knew the university breakdown was risky, but I had to think through *why* small universities made it worse. For Scenario C, I needed to imagine the specific steps someone would take to re-identify people — knowing the school, knowing DC CAP works there, looking up the roster. That's a different skill than categorization. Once I mapped out those steps, the risk became concrete instead of abstract.</w:t>
      </w:r>
    </w:p>
    <w:p/>
    <w:p>
      <w:pPr>
        <w:spacing w:after="200" w:line="200"/>
        <w:jc w:val="left"/>
        <w:rPr>
          <w:rFonts w:ascii="Arial" w:cs="Arial" w:eastAsia="Arial" w:hAnsi="Arial"/>
          <w:b/>
          <w:bCs/>
          <w:color w:val="8352FF"/>
          <w:sz w:val="28"/>
          <w:szCs w:val="28"/>
        </w:rPr>
      </w:pPr>
      <w:r>
        <w:t xml:space="preserve">FACILITATOR NOTES</w:t>
      </w:r>
    </w:p>
    <w:p>
      <w:pPr>
        <w:spacing w:after="100" w:line="200"/>
        <w:jc w:val="left"/>
        <w:rPr>
          <w:rFonts w:ascii="Georgia" w:cs="Georgia" w:eastAsia="Georgia" w:hAnsi="Georgia"/>
          <w:b w:val="false"/>
          <w:bCs w:val="false"/>
          <w:color w:val="101A4C"/>
          <w:sz w:val="22"/>
          <w:szCs w:val="22"/>
        </w:rPr>
      </w:pPr>
      <w:r>
        <w:t xml:space="preserve">Pattern: This participant moved from abstract risk awareness to mechanistic re-identification reasoning. Initial work showed correct tier choices but vague combination analysis ('could enable inference'). Revision traced specific pathways (small denominator + public data = identification). This reflects strong learning agility — the participant identified the gap, then systematically filled it by working through concrete examples rather than memorizing rules.</w:t>
      </w:r>
    </w:p>
    <w:p>
      <w:pPr>
        <w:spacing w:after="100" w:line="200"/>
        <w:jc w:val="left"/>
        <w:rPr>
          <w:rFonts w:ascii="Georgia" w:cs="Georgia" w:eastAsia="Georgia" w:hAnsi="Georgia"/>
          <w:b w:val="false"/>
          <w:bCs w:val="false"/>
          <w:color w:val="101A4C"/>
          <w:sz w:val="22"/>
          <w:szCs w:val="22"/>
        </w:rPr>
      </w:pPr>
      <w:r>
        <w:t xml:space="preserve">Discussion Question: When you're looking at your own data, how do you decide whether combining two pieces of information creates risk? Keisha's revised reasoning walks through a specific pathway: know the total, know the count, estimate the individual values. Are there other combination patterns at DC CAP that follow this same logic? What's the threshold where you feel confident saying 'combination is safe'?</w:t>
      </w:r>
    </w:p>
    <w:p/>
    <w:p/>
    <w:p>
      <w:pPr>
        <w:spacing w:after="100" w:line="200"/>
        <w:jc w:val="center"/>
        <w:rPr>
          <w:rFonts w:ascii="Georgia" w:cs="Georgia" w:eastAsia="Georgia" w:hAnsi="Georgia"/>
          <w:b w:val="false"/>
          <w:bCs w:val="false"/>
          <w:color w:val="101A4C"/>
          <w:sz w:val="20"/>
          <w:szCs w:val="20"/>
        </w:rPr>
      </w:pPr>
      <w:r>
        <w:t xml:space="preserve">DC CAP · dccapscholars.org</w:t>
      </w:r>
    </w:p>
    <w:p>
      <w:pPr>
        <w:spacing w:after="100" w:line="200"/>
        <w:jc w:val="center"/>
        <w:rPr>
          <w:rFonts w:ascii="Georgia" w:cs="Georgia" w:eastAsia="Georgia" w:hAnsi="Georgia"/>
          <w:b w:val="false"/>
          <w:bCs w:val="false"/>
          <w:color w:val="101A4C"/>
          <w:sz w:val="20"/>
          <w:szCs w:val="20"/>
        </w:rPr>
      </w:pPr>
      <w:r>
        <w:t xml:space="preserve">AI Deployment Leadership Training Pilot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2026-04-10T11:13:46.876Z</dcterms:created>
  <dcterms:modified xsi:type="dcterms:W3CDTF">2026-04-10T11:13:46.876Z</dcterms:modified>
</cp:coreProperties>
</file>

<file path=docProps/custom.xml><?xml version="1.0" encoding="utf-8"?>
<Properties xmlns="http://schemas.openxmlformats.org/officeDocument/2006/custom-properties" xmlns:vt="http://schemas.openxmlformats.org/officeDocument/2006/docPropsVTypes"/>
</file>