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01A4C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line="240"/>
              <w:jc w:val="center"/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</w:pPr>
            <w:r>
              <w:t xml:space="preserve">DC CAP SCHOLARS</w:t>
            </w:r>
          </w:p>
          <w:p>
            <w:pPr>
              <w:spacing w:after="240" w:line="240"/>
              <w:jc w:val="center"/>
              <w:rPr>
                <w:rFonts w:ascii="Arial" w:cs="Arial" w:eastAsia="Arial" w:hAnsi="Arial"/>
                <w:color w:val="FFFFFF"/>
                <w:sz w:val="28"/>
                <w:szCs w:val="28"/>
              </w:rPr>
            </w:pPr>
            <w:r>
              <w:t xml:space="preserve">AI Leadership Pilot — Portfolio Summary</w:t>
            </w:r>
          </w:p>
          <w:p>
            <w:pPr>
              <w:spacing w:after="120" w:line="240"/>
              <w:jc w:val="center"/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</w:pPr>
            <w:r>
              <w:t xml:space="preserve">The Supported Pipeline: Real Work, Structured Checkpoints</w:t>
            </w:r>
          </w:p>
          <w:p>
            <w:pPr>
              <w:spacing w:line="240"/>
              <w:jc w:val="center"/>
              <w:rPr>
                <w:rFonts w:ascii="Georgia" w:cs="Georgia" w:eastAsia="Georgia" w:hAnsi="Georgia"/>
                <w:color w:val="FFFFFF"/>
                <w:sz w:val="22"/>
                <w:szCs w:val="22"/>
              </w:rPr>
            </w:pPr>
            <w:r>
              <w:t xml:space="preserve">Marcus Chen · Data &amp; Technology · May 1, 2026</w:t>
            </w:r>
          </w:p>
        </w:tc>
      </w:tr>
    </w:tbl>
    <w:p/>
    <w:p>
      <w:pPr>
        <w:spacing w:after="200" w:line="200"/>
        <w:jc w:val="left"/>
        <w:rPr>
          <w:rFonts w:ascii="Arial" w:cs="Arial" w:eastAsia="Arial" w:hAnsi="Arial"/>
          <w:b/>
          <w:bCs/>
          <w:color w:val="8352FF"/>
          <w:sz w:val="24"/>
          <w:szCs w:val="24"/>
        </w:rPr>
      </w:pPr>
      <w:r>
        <w:t xml:space="preserve">COMPETENCIES &amp; ASSESSMENT</w:t>
      </w:r>
    </w:p>
    <w:p>
      <w:pPr>
        <w:spacing w:after="100" w:line="200"/>
        <w:jc w:val="left"/>
        <w:rPr>
          <w:rFonts w:ascii="Georgia" w:cs="Georgia" w:eastAsia="Georgia" w:hAnsi="Georgia"/>
          <w:b w:val="false"/>
          <w:bCs w:val="false"/>
          <w:color w:val="101A4C"/>
          <w:sz w:val="22"/>
          <w:szCs w:val="22"/>
        </w:rPr>
      </w:pPr>
      <w:r>
        <w:t xml:space="preserve">Diligence, Description, Delegation, Discernment · Week 3-4 (April 18-May 1, 2026)</w:t>
      </w:r>
    </w:p>
    <w:p>
      <w:pPr>
        <w:spacing w:after="100" w:line="200"/>
        <w:jc w:val="left"/>
        <w:rPr>
          <w:rFonts w:ascii="Georgia" w:cs="Georgia" w:eastAsia="Georgia" w:hAnsi="Georgia"/>
          <w:b/>
          <w:bCs/>
          <w:color w:val="101A4C"/>
          <w:sz w:val="22"/>
          <w:szCs w:val="22"/>
        </w:rPr>
      </w:pPr>
      <w:r>
        <w:t xml:space="preserve">Final Assessment Level: Meets</w:t>
      </w:r>
    </w:p>
    <w:p/>
    <w:p>
      <w:pPr>
        <w:spacing w:after="200" w:line="200"/>
        <w:jc w:val="left"/>
        <w:rPr>
          <w:rFonts w:ascii="Arial" w:cs="Arial" w:eastAsia="Arial" w:hAnsi="Arial"/>
          <w:b/>
          <w:bCs/>
          <w:color w:val="8352FF"/>
          <w:sz w:val="26"/>
          <w:szCs w:val="26"/>
        </w:rPr>
      </w:pPr>
      <w:r>
        <w:t xml:space="preserve">PERFORMANCE SNAPSHOT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01A4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/>
                <w:bCs/>
                <w:color w:val="FFFFFF"/>
              </w:rPr>
            </w:pPr>
            <w:r>
              <w:t xml:space="preserve">Dimension</w:t>
            </w:r>
          </w:p>
        </w:tc>
        <w:tc>
          <w:tcPr>
            <w:shd w:fill="101A4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/>
                <w:bCs/>
                <w:color w:val="FFFFFF"/>
              </w:rPr>
            </w:pPr>
            <w:r>
              <w:t xml:space="preserve">Level</w:t>
            </w:r>
          </w:p>
        </w:tc>
        <w:tc>
          <w:tcPr>
            <w:shd w:fill="101A4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/>
                <w:bCs/>
                <w:color w:val="FFFFFF"/>
              </w:rPr>
            </w:pPr>
            <w:r>
              <w:t xml:space="preserve">Key Evidence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 w:val="false"/>
                <w:bCs w:val="false"/>
                <w:color w:val="101A4C"/>
              </w:rPr>
            </w:pPr>
            <w:r>
              <w:t xml:space="preserve">Real Governance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/>
                <w:bCs/>
                <w:color w:val="101A4C"/>
              </w:rPr>
            </w:pPr>
            <w:r>
              <w:t xml:space="preserve">Meets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 w:val="false"/>
                <w:bCs w:val="false"/>
                <w:color w:val="101A4C"/>
              </w:rPr>
            </w:pPr>
            <w:r>
              <w:t xml:space="preserve">Correctly classified funder data request as Tier 2 (aggregated outcomes with small-cell risk); identified re-identification pathway between disaggregated demographics and public school data.</w:t>
            </w:r>
          </w:p>
        </w:tc>
      </w:tr>
      <w:tr>
        <w:tc>
          <w:tcPr>
            <w:shd w:fill="FFF4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 w:val="false"/>
                <w:bCs w:val="false"/>
                <w:color w:val="101A4C"/>
              </w:rPr>
            </w:pPr>
            <w:r>
              <w:t xml:space="preserve">CTCC Prompt Quality</w:t>
            </w:r>
          </w:p>
        </w:tc>
        <w:tc>
          <w:tcPr>
            <w:shd w:fill="FFF4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/>
                <w:bCs/>
                <w:color w:val="101A4C"/>
              </w:rPr>
            </w:pPr>
            <w:r>
              <w:t xml:space="preserve">Meets</w:t>
            </w:r>
          </w:p>
        </w:tc>
        <w:tc>
          <w:tcPr>
            <w:shd w:fill="FFF4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 w:val="false"/>
                <w:bCs w:val="false"/>
                <w:color w:val="101A4C"/>
              </w:rPr>
            </w:pPr>
            <w:r>
              <w:t xml:space="preserve">Prompt included all four components (Context: funder context and use case; Task: generate aggregated summary; Constraints: Tier 2 handling, flag cells N&lt;10; Content: scholar outcome data parameters). Governance constraints explicitly embedded.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 w:val="false"/>
                <w:bCs w:val="false"/>
                <w:color w:val="101A4C"/>
              </w:rPr>
            </w:pPr>
            <w:r>
              <w:t xml:space="preserve">Modality Judgment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/>
                <w:bCs/>
                <w:color w:val="101A4C"/>
              </w:rPr>
            </w:pPr>
            <w:r>
              <w:t xml:space="preserve">Exceeds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 w:val="false"/>
                <w:bCs w:val="false"/>
                <w:color w:val="101A4C"/>
              </w:rPr>
            </w:pPr>
            <w:r>
              <w:t xml:space="preserve">Selected Automation for data aggregation (Claude handles query framework) + Augmentation for narrative drafting (human adds strategic context). Clear articulation of why data governance verification is human-only.</w:t>
            </w:r>
          </w:p>
        </w:tc>
      </w:tr>
      <w:tr>
        <w:tc>
          <w:tcPr>
            <w:shd w:fill="FFF4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 w:val="false"/>
                <w:bCs w:val="false"/>
                <w:color w:val="101A4C"/>
              </w:rPr>
            </w:pPr>
            <w:r>
              <w:t xml:space="preserve">Output Audit Rigor</w:t>
            </w:r>
          </w:p>
        </w:tc>
        <w:tc>
          <w:tcPr>
            <w:shd w:fill="FFF4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/>
                <w:bCs/>
                <w:color w:val="101A4C"/>
              </w:rPr>
            </w:pPr>
            <w:r>
              <w:t xml:space="preserve">Meets</w:t>
            </w:r>
          </w:p>
        </w:tc>
        <w:tc>
          <w:tcPr>
            <w:shd w:fill="FFF4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 w:val="false"/>
                <w:bCs w:val="false"/>
                <w:color w:val="101A4C"/>
              </w:rPr>
            </w:pPr>
            <w:r>
              <w:t xml:space="preserve">Documented six edits with tags (3 Accuracy Fixes, 2 Strategic Additions, 1 Removal). All edits tied back to governance compliance or prompt clarity. Human judgment layer addressed verification steps for small-cell suppression.</w:t>
            </w:r>
          </w:p>
        </w:tc>
      </w:tr>
    </w:tbl>
    <w:p/>
    <w:p>
      <w:pPr>
        <w:spacing w:after="200" w:line="200"/>
        <w:jc w:val="left"/>
        <w:rPr>
          <w:rFonts w:ascii="Arial" w:cs="Arial" w:eastAsia="Arial" w:hAnsi="Arial"/>
          <w:b/>
          <w:bCs/>
          <w:color w:val="8352FF"/>
          <w:sz w:val="26"/>
          <w:szCs w:val="26"/>
        </w:rPr>
      </w:pPr>
      <w:r>
        <w:t xml:space="preserve">GROWTH STORY</w:t>
      </w:r>
    </w:p>
    <w:p>
      <w:pPr>
        <w:spacing w:after="100" w:line="200"/>
        <w:jc w:val="left"/>
        <w:rPr>
          <w:rFonts w:ascii="Georgia" w:cs="Georgia" w:eastAsia="Georgia" w:hAnsi="Georgia"/>
          <w:b w:val="false"/>
          <w:bCs w:val="false"/>
          <w:color w:val="101A4C"/>
          <w:sz w:val="22"/>
          <w:szCs w:val="22"/>
        </w:rPr>
      </w:pPr>
      <w:r>
        <w:t xml:space="preserve">Task 1 gave you the framework in a controlled scenario; Task 2 tested it on real work with no answer key. Your governance classification was stronger in Task 2 — you moved faster and caught a Tier 2 edge case (small-cell risk in demographic breakdowns) that the Task 1 scenarios hadn't explicitly emphasized. The prompt design was solid but revealed an opportunity for Task 3: your first-pass prompts work well, but you didn't iterate them based on governance constraints. You know the framework; now the growth edge is treating prompt refinement as a governance exercise, not an afterthought. This is the threshold between correct-once and refined-repeatedly.</w:t>
      </w:r>
    </w:p>
    <w:p/>
    <w:p>
      <w:pPr>
        <w:spacing w:after="200" w:line="200"/>
        <w:jc w:val="left"/>
        <w:rPr>
          <w:rFonts w:ascii="Arial" w:cs="Arial" w:eastAsia="Arial" w:hAnsi="Arial"/>
          <w:b/>
          <w:bCs/>
          <w:color w:val="8352FF"/>
          <w:sz w:val="26"/>
          <w:szCs w:val="26"/>
        </w:rPr>
      </w:pPr>
      <w:r>
        <w:t xml:space="preserve">PARTICIPANT REFLECTION</w:t>
      </w:r>
    </w:p>
    <w:p>
      <w:pPr>
        <w:spacing w:after="100" w:line="200"/>
        <w:jc w:val="left"/>
        <w:rPr>
          <w:rFonts w:ascii="Georgia" w:cs="Georgia" w:eastAsia="Georgia" w:hAnsi="Georgia"/>
          <w:b w:val="false"/>
          <w:bCs w:val="false"/>
          <w:color w:val="101A4C"/>
          <w:sz w:val="22"/>
          <w:szCs w:val="22"/>
        </w:rPr>
      </w:pPr>
      <w:r>
        <w:t xml:space="preserve">"Task 1 was theoretical with an answer key; Task 2 was your actual work with no safety net. What was different about classifying real data vs. the scenario data?"</w:t>
      </w:r>
    </w:p>
    <w:p>
      <w:pPr>
        <w:spacing w:after="100" w:line="200"/>
        <w:jc w:val="left"/>
        <w:rPr>
          <w:rFonts w:ascii="Georgia" w:cs="Georgia" w:eastAsia="Georgia" w:hAnsi="Georgia"/>
          <w:b w:val="false"/>
          <w:bCs w:val="false"/>
          <w:color w:val="101A4C"/>
          <w:sz w:val="22"/>
          <w:szCs w:val="22"/>
        </w:rPr>
      </w:pPr>
      <w:r>
        <w:t xml:space="preserve">Real data made it concrete. I know our funder relationships, I know the exact fields in our data, I know which partner institutions have small scholar populations. All that context meant I wasn't memorizing tier definitions — I was mapping our actual governance risks. The small-cell issue in the demographics data? That's specific to a funder request I handle quarterly. Task 2 made the framework stick because it was about my real work.</w:t>
      </w:r>
    </w:p>
    <w:p/>
    <w:p>
      <w:pPr>
        <w:spacing w:after="200" w:line="200"/>
        <w:jc w:val="left"/>
        <w:rPr>
          <w:rFonts w:ascii="Arial" w:cs="Arial" w:eastAsia="Arial" w:hAnsi="Arial"/>
          <w:b/>
          <w:bCs/>
          <w:color w:val="8352FF"/>
          <w:sz w:val="26"/>
          <w:szCs w:val="26"/>
        </w:rPr>
      </w:pPr>
      <w:r>
        <w:t xml:space="preserve">FACILITATOR INSIGHT</w:t>
      </w:r>
    </w:p>
    <w:p>
      <w:pPr>
        <w:spacing w:after="100" w:line="200"/>
        <w:jc w:val="left"/>
        <w:rPr>
          <w:rFonts w:ascii="Georgia" w:cs="Georgia" w:eastAsia="Georgia" w:hAnsi="Georgia"/>
          <w:b w:val="false"/>
          <w:bCs w:val="false"/>
          <w:color w:val="101A4C"/>
          <w:sz w:val="22"/>
          <w:szCs w:val="22"/>
        </w:rPr>
      </w:pPr>
      <w:r>
        <w:t xml:space="preserve">Pattern: Transfers Task 1 framework to real work with confidence and speed. Governance classification remains accurate; prompt design is solid on first pass. Growth edge is iterative refinement — this participant moves to correct, where some others in the cohort iterate once or twice before submitting. Ready to challenge them on prompt refinement in Task 3.</w:t>
      </w:r>
    </w:p>
    <w:p/>
    <w:p>
      <w:pPr>
        <w:spacing w:after="100" w:line="200"/>
        <w:jc w:val="left"/>
        <w:rPr>
          <w:rFonts w:ascii="Georgia" w:cs="Georgia" w:eastAsia="Georgia" w:hAnsi="Georgia"/>
          <w:b w:val="false"/>
          <w:bCs w:val="false"/>
          <w:color w:val="101A4C"/>
          <w:sz w:val="22"/>
          <w:szCs w:val="22"/>
        </w:rPr>
      </w:pPr>
      <w:r>
        <w:t xml:space="preserve">For Peer Discussion: "Marcus classified real funder data faster than the Task 1 scenarios. What made real data easier to classify? Can we build that confidence — the confidence that comes from knowing your actual work — into how we approach new governance challenges we haven't seen before?"</w:t>
      </w:r>
    </w:p>
    <w:p/>
    <w:p>
      <w:pPr>
        <w:spacing w:after="200" w:line="200"/>
        <w:jc w:val="left"/>
        <w:rPr>
          <w:rFonts w:ascii="Arial" w:cs="Arial" w:eastAsia="Arial" w:hAnsi="Arial"/>
          <w:b/>
          <w:bCs/>
          <w:color w:val="8352FF"/>
          <w:sz w:val="26"/>
          <w:szCs w:val="26"/>
        </w:rPr>
      </w:pPr>
      <w:r>
        <w:t xml:space="preserve">LEARNING TRAJECTORY</w:t>
      </w:r>
    </w:p>
    <w:p>
      <w:pPr>
        <w:spacing w:after="100" w:line="200"/>
        <w:jc w:val="left"/>
        <w:rPr>
          <w:rFonts w:ascii="Georgia" w:cs="Georgia" w:eastAsia="Georgia" w:hAnsi="Georgia"/>
          <w:b w:val="false"/>
          <w:bCs w:val="false"/>
          <w:color w:val="101A4C"/>
          <w:sz w:val="22"/>
          <w:szCs w:val="22"/>
        </w:rPr>
      </w:pPr>
      <w:r>
        <w:t xml:space="preserve">Task 1 → Task 2: Classification Accuracy remained Meets; speed improved dramatically. Reasoning Specificity moved from Approaching (vague combination analysis) to Meets (traced re-identification pathways clearly). This is the transfer you'd want to see — theory becomes fast, automatic practice. Modality Judgment jumped from no baseline to Exceeds because Marcus understood why humans handle data governance verification. The cohort should notice this: real work made everything clearer. Auditing is still a growth edge — Marcus's first-pass audit was thorough but didn't identify as many optimization opportunities as peers who iterated more. Ready for Task 3 with recommendation to iterate prompts at least once before submission.</w:t>
      </w:r>
    </w:p>
    <w:p/>
    <w:p/>
    <w:p>
      <w:pPr>
        <w:spacing w:after="100" w:line="200"/>
        <w:jc w:val="center"/>
        <w:rPr>
          <w:rFonts w:ascii="Georgia" w:cs="Georgia" w:eastAsia="Georgia" w:hAnsi="Georgia"/>
          <w:b w:val="false"/>
          <w:bCs w:val="false"/>
          <w:color w:val="101A4C"/>
          <w:sz w:val="20"/>
          <w:szCs w:val="20"/>
        </w:rPr>
      </w:pPr>
      <w:r>
        <w:t xml:space="preserve">DC CAP · dccapscholars.org</w:t>
      </w:r>
    </w:p>
    <w:p>
      <w:pPr>
        <w:spacing w:after="100" w:line="200"/>
        <w:jc w:val="center"/>
        <w:rPr>
          <w:rFonts w:ascii="Georgia" w:cs="Georgia" w:eastAsia="Georgia" w:hAnsi="Georgia"/>
          <w:b w:val="false"/>
          <w:bCs w:val="false"/>
          <w:color w:val="101A4C"/>
          <w:sz w:val="20"/>
          <w:szCs w:val="20"/>
        </w:rPr>
      </w:pPr>
      <w:r>
        <w:t xml:space="preserve">AI Deployment Leadership Training Pilot ·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2026-04-10T11:14:46.676Z</dcterms:created>
  <dcterms:modified xsi:type="dcterms:W3CDTF">2026-04-10T11:14:46.677Z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