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Task Portfolio</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8"/>
          <w:szCs w:val="28"/>
        </w:rPr>
      </w:pPr>
      <w:r>
        <w:t xml:space="preserve">TASK OVERVIEW</w:t>
      </w:r>
    </w:p>
    <w:p>
      <w:pPr>
        <w:spacing w:after="100" w:line="200"/>
        <w:jc w:val="left"/>
        <w:rPr>
          <w:rFonts w:ascii="Georgia" w:cs="Georgia" w:eastAsia="Georgia" w:hAnsi="Georgia"/>
          <w:b w:val="false"/>
          <w:bCs w:val="false"/>
          <w:color w:val="101A4C"/>
          <w:sz w:val="22"/>
          <w:szCs w:val="22"/>
        </w:rPr>
      </w:pPr>
      <w:r>
        <w:t xml:space="preserve">Competency: Diligence</w:t>
      </w:r>
    </w:p>
    <w:p>
      <w:pPr>
        <w:spacing w:after="100" w:line="200"/>
        <w:jc w:val="left"/>
        <w:rPr>
          <w:rFonts w:ascii="Georgia" w:cs="Georgia" w:eastAsia="Georgia" w:hAnsi="Georgia"/>
          <w:b w:val="false"/>
          <w:bCs w:val="false"/>
          <w:color w:val="101A4C"/>
          <w:sz w:val="22"/>
          <w:szCs w:val="22"/>
        </w:rPr>
      </w:pPr>
      <w:r>
        <w:t xml:space="preserve">Week: 1 (April 6-9)</w:t>
      </w:r>
    </w:p>
    <w:p>
      <w:pPr>
        <w:spacing w:after="100" w:line="200"/>
        <w:jc w:val="left"/>
        <w:rPr>
          <w:rFonts w:ascii="Georgia" w:cs="Georgia" w:eastAsia="Georgia" w:hAnsi="Georgia"/>
          <w:b w:val="false"/>
          <w:bCs w:val="false"/>
          <w:color w:val="101A4C"/>
          <w:sz w:val="22"/>
          <w:szCs w:val="22"/>
        </w:rPr>
      </w:pPr>
      <w:r>
        <w:t xml:space="preserve">Success Criteria: Correctly classify 3 data scenarios using DC CAP's four-tier governance framework with specific reasoning, combination analysis, and governance actions.</w:t>
      </w:r>
    </w:p>
    <w:p/>
    <w:p>
      <w:pPr>
        <w:spacing w:after="200" w:line="200"/>
        <w:jc w:val="left"/>
        <w:rPr>
          <w:rFonts w:ascii="Arial" w:cs="Arial" w:eastAsia="Arial" w:hAnsi="Arial"/>
          <w:b/>
          <w:bCs/>
          <w:color w:val="8352FF"/>
          <w:sz w:val="28"/>
          <w:szCs w:val="28"/>
        </w:rPr>
      </w:pPr>
      <w:r>
        <w:t xml:space="preserve">INITIAL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and the university-level breakdown (potential re-identification pathway).
Combination Test: If this data were combined with a public roster of DC CAP scholars by university, the disbursement amounts could be linked to approximate individual award sizes at smaller institutions where the number of scholars is low. This would escalate the sensitivity and create a personal financial profile.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 the Ward-level breakdown includes one Ward with only 6 scholars. This falls below the N&lt;10 small-cell threshold in the aggregation guidance, which makes re-identification possible through cross-referencing with public data about school locations and DC CAP partner lists.
Combination Test: If combined with public information about which schools operate in that specific Ward and DC CAP's published partner school list, the 6 scholars in that Ward could potentially be identified. The small cell size is the key trigger that escalates this from aggregated data to re-identifiable aggregate.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ASSESSMENT</w:t>
      </w:r>
    </w:p>
    <w:p>
      <w:pPr>
        <w:spacing w:after="100" w:line="200"/>
        <w:jc w:val="left"/>
        <w:rPr>
          <w:rFonts w:ascii="Georgia" w:cs="Georgia" w:eastAsia="Georgia" w:hAnsi="Georgia"/>
          <w:b w:val="false"/>
          <w:bCs w:val="false"/>
          <w:color w:val="101A4C"/>
          <w:sz w:val="22"/>
          <w:szCs w:val="22"/>
        </w:rPr>
      </w:pPr>
      <w:r>
        <w:t xml:space="preserve">## Task 1 Assessment: The Governance Walk
### Participant: Keisha Williams
Your Scenario B classification is strong — you nailed the FERPA reasoning and the prohibition logic. Scenarios A and C both need refinement in how you connect the small-cell threshold concept, which is a single underlying principle that will fix both classifications.
---
### Scenario A: Disbursement amounts by university, no student names
**Tier Assignment:** Tier 2 (Sensitive) → Correct
| Dimension | Level | Key Evidence |
|-----------|-------|-------------|
| Classification Accuracy | Meets | Correct tier with adequate recognition of financial records as Tier 2 data. |
| Reasoning Specificity | Meets | Named specific data elements: disbursement amounts, university-level breakdown, potential for inference. |
| Combination Awareness | Approaching | Identified roster combination but reasoning about re-identification pathway is vague (didn't explain why small universities create the risk). |
| Governance Application | Meets | Correct tier-specific handling: restricted access, de-identification verification, 30-day retention. |
**What worked:** You correctly identified this as Tier 2 (not Tier 3) and you named the specific data elements (disbursement amounts, university breakdown) that drove the classification. Your governance actions are complete and framework-aligned.
**Where to strengthen:** The combination analysis would be stronger if you explained the mechanism of re-identification. The risk isn't just that the roster exists — it's that at a small university (say, 12 total scholars), knowing the breakdown of award types and totals could let someone estimate individual awards. Walk through that inference pathway in your revision.
---
### Scenario B: Email thread with student PII and academic records
**Tier Assignment:** Tier 1 (Restricted) → Correct
| Dimension | Level | Key Evidence |
|-----------|-------|-------------|
| Classification Accuracy | Exceeds | Correct tier with nuanced understanding of FERPA protection and the linkage of name to academic/family data. |
| Reasoning Specificity | Exceeds | Named exact protected elements: student name, GPA, academic struggles, family hardship. Explained why each matters to Tier 1. |
| Combination Awareness | Meets | Correctly noted that Tier 1 cannot escalate further, but identified the profile-creation risk with Scenario A. |
| Governance Application | Exceeds | Correct prohibition language, noted legal review requirement, understood no exceptions. |
**What worked:** This is your strongest work. You understood not just that the data is sensitive, but *why* — the FERPA protection and the personal profile created by linking name to academic/family info. Your governance action (prohibition with legal review pathway) is correct and complete.
---
### Scenario C: Board slide with Ward-level persistence and small cell (N=6)
**Tier Assignment:** Tier 2 (Sensitive) → Correct
| Dimension | Level | Key Evidence |
|-----------|-------|-------------|
| Classification Accuracy | Meets | Correct tier, but reasoning doesn't clearly explain why aggregates become re-identifiable at small cells. |
| Reasoning Specificity | Approaching | Mentioned N&lt;10 threshold and "small-cell aggregates," but didn't isolate the specific data fields that create risk (the persistence %s at low N). |
| Combination Awareness | Approaching | Identified combination with school location data, but didn't explain why public school rosters + DC CAP partner list enable the re-identification. |
| Governance Application | Meets | Correct handling for Tier 2: de-identification verification before AI use, but could note suppression as an alternative remediation. |
**What worked:** You got the tier right and you named the N&lt;10 threshold, which shows you read the framework. Your governance action is correct for the tier.
**Where to strengthen:** The small-cell concept is the most operationally important threshold at DC CAP, so this is worth solidifying. The principle is: once a cell size drops below 10, you can cross-reference public data (school lists) with an organization's known presence to identify individuals. In your revision, explain why knowing that DC CAP has 6 scholars in Ward X, plus knowing which schools are in Ward X, plus knowing which DC CAP scholars are at those schools would enable identification. This is the same principle that triggered Tier 2 for Scenario A's university-level disbursements.
### Coaching Question
In Scenarios A and C, you correctly classified the tier but your combination analysis didn't trace the re-identification pathway. Here's the pattern: both are aggregates (university disbursements, Ward persistence rates) that become risky when paired with public information. What do Scenario A's "small university" risk and Scenario C's "small Ward" risk have in common? If you can name that pattern, you'll solidify why the N&lt;10 threshold matters.
### Revision Guidance
Focus on these improvements, ordered by impact:
1. **Scenario C — Combination Awareness:** Explain the re-identification mechanism step-by-step. "Knowing that DC CAP has 6 scholars in Ward X + knowing DC CAP partners with schools Y and Z in Ward X + cross-referencing with public school rosters = risk of identifying those 6 individuals." This is what makes Tier 2 the right call.
2. **Scenario A — Combination Awareness:** Extend your reasoning about small universities. Explain why a university with 12 total scholars poses more risk than one with 100. The smaller the denominator, the more reliably you can infer individual values from the aggregate.
3. **Scenario C — Reasoning Specificity:** Name the exact data fields that triggered Tier 2. It's not just "the Ward breakdown" — it's specifically the persistence percentages at the Ward level when one Ward has N=6, combined with the aggregation guidance threshold.
Ready to revise? Update your memo and come back with "Here is my revision."</w:t>
      </w:r>
    </w:p>
    <w:p/>
    <w:p>
      <w:pPr>
        <w:spacing w:after="200" w:line="200"/>
        <w:jc w:val="left"/>
        <w:rPr>
          <w:rFonts w:ascii="Arial" w:cs="Arial" w:eastAsia="Arial" w:hAnsi="Arial"/>
          <w:b/>
          <w:bCs/>
          <w:color w:val="8352FF"/>
          <w:sz w:val="28"/>
          <w:szCs w:val="28"/>
        </w:rPr>
      </w:pPr>
      <w:r>
        <w:t xml:space="preserve">REVISED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the university-level breakdown, and the partner institution size variation. At a small partner university with 12 total DC CAP scholars, knowing the breakdown of award types and the totals for each type would allow someone to estimate or reverse-engineer individual award amounts.
Combination Test: If this data were combined with a public roster of DC CAP scholars by university, the disbursement amounts would create a re-identification pathway. At a smaller university with fewer scholars, cross-referencing the total disbursements by award type with the known scholar count would enable inference of individual award sizes. At a larger institution with 100+ scholars, the same aggregated disbursements would be much harder to trace back to individuals because the denominators are larger. This is why small partner institutions pose the re-identification risk.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3/Internal, the Ward-level breakdown includes one Ward with only 6 scholars. This falls below the N&lt;10 small-cell threshold in the aggregation guidance. The specific data fields that triggered Tier 2 are: (1) the persistence percentages disaggregated by Ward, and (2) the fact that one Ward has N=6, which is below the threshold. At this cell size, re-identification becomes possible through cross-referencing.
Combination Test: If combined with public information about which schools operate in a specific Ward and DC CAP's published partner school list, the 6 scholars in that Ward could potentially be identified. The mechanism works like this: knowing that DC CAP has 6 scholars in Ward X, plus knowing which schools DC CAP partners with in Ward X, plus cross-referencing those schools with public enrollment rosters would enable identification of those 6 individuals. This is the same re-identification principle as Scenario A: the smaller the denominator, the more reliably you can infer or identify the individuals in that group.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GROWTH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Initial Level</w:t>
            </w:r>
          </w:p>
        </w:tc>
        <w:tc>
          <w:tcPr>
            <w:shd w:fill="101A4C"/>
            <w:tcMar>
              <w:top w:type="dxa" w:w="100"/>
              <w:left w:type="dxa" w:w="100"/>
              <w:bottom w:type="dxa" w:w="100"/>
              <w:right w:type="dxa" w:w="100"/>
            </w:tcMar>
            <w:vAlign w:val="center"/>
          </w:tcPr>
          <w:p>
            <w:pPr>
              <w:spacing w:line="240"/>
              <w:jc w:val="left"/>
              <w:rPr>
                <w:b/>
                <w:bCs/>
                <w:color w:val="FFFFFF"/>
              </w:rPr>
            </w:pPr>
            <w:r>
              <w:t xml:space="preserve">Revised Level</w:t>
            </w:r>
          </w:p>
        </w:tc>
        <w:tc>
          <w:tcPr>
            <w:shd w:fill="101A4C"/>
            <w:tcMar>
              <w:top w:type="dxa" w:w="100"/>
              <w:left w:type="dxa" w:w="100"/>
              <w:bottom w:type="dxa" w:w="100"/>
              <w:right w:type="dxa" w:w="100"/>
            </w:tcMar>
            <w:vAlign w:val="center"/>
          </w:tcPr>
          <w:p>
            <w:pPr>
              <w:spacing w:line="240"/>
              <w:jc w:val="left"/>
              <w:rPr>
                <w:b/>
                <w:bCs/>
                <w:color w:val="FFFFFF"/>
              </w:rPr>
            </w:pPr>
            <w:r>
              <w:t xml:space="preserve">What Changed</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remained correct across all three scenarios. No accuracy changes needed — the tier assignments were solid from the start.</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Expanded to explicitly name the N&lt;10 threshold in Scenario C and explained why small universities create re-identification risk in Scenario A. Moved from generally naming data elements to specifying why field-level details matter.</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Approaching</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Traced the re-identification pathway step-by-step in both Scenarios A and C. Explained the inference mechanism (small denominator + public data = individual identification) and showed how it applies across both scenarios.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actions remained correct and framework-aligned. Added suppression as a practical remediation option for Scenario C.</w:t>
            </w:r>
          </w:p>
        </w:tc>
      </w:tr>
    </w:tbl>
    <w:p/>
    <w:p>
      <w:pPr>
        <w:spacing w:after="100" w:line="200"/>
        <w:jc w:val="left"/>
        <w:rPr>
          <w:rFonts w:ascii="Georgia" w:cs="Georgia" w:eastAsia="Georgia" w:hAnsi="Georgia"/>
          <w:b/>
          <w:bCs/>
          <w:color w:val="101A4C"/>
          <w:sz w:val="22"/>
          <w:szCs w:val="22"/>
        </w:rPr>
      </w:pPr>
      <w:r>
        <w:t xml:space="preserve">Overall Readiness: Ready for peer exchange. Strong foundation in data classification with demonstrated ability to apply small-cell thresholds and trace re-identification pathways. Scenario B (Tier 1 prohibition) is exemplary. Ready to apply this rigor to prompt design and AI delegation decisions in Task 2.</w:t>
      </w:r>
    </w:p>
    <w:p/>
    <w:p>
      <w:pPr>
        <w:spacing w:after="200" w:line="200"/>
        <w:jc w:val="left"/>
        <w:rPr>
          <w:rFonts w:ascii="Arial" w:cs="Arial" w:eastAsia="Arial" w:hAnsi="Arial"/>
          <w:b/>
          <w:bCs/>
          <w:color w:val="8352FF"/>
          <w:sz w:val="28"/>
          <w:szCs w:val="28"/>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8"/>
          <w:szCs w:val="28"/>
        </w:rPr>
      </w:pPr>
      <w:r>
        <w:t xml:space="preserve">FACILITATOR NOTES</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Pr>
        <w:spacing w:after="100" w:line="200"/>
        <w:jc w:val="left"/>
        <w:rPr>
          <w:rFonts w:ascii="Georgia" w:cs="Georgia" w:eastAsia="Georgia" w:hAnsi="Georgia"/>
          <w:b w:val="false"/>
          <w:bCs w:val="false"/>
          <w:color w:val="101A4C"/>
          <w:sz w:val="22"/>
          <w:szCs w:val="22"/>
        </w:rPr>
      </w:pPr>
      <w:r>
        <w:t xml:space="preserve">Discussion Question: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2026-04-10T00:43:14.284Z</dcterms:created>
  <dcterms:modified xsi:type="dcterms:W3CDTF">2026-04-10T00:43:14.284Z</dcterms:modified>
</cp:coreProperties>
</file>

<file path=docProps/custom.xml><?xml version="1.0" encoding="utf-8"?>
<Properties xmlns="http://schemas.openxmlformats.org/officeDocument/2006/custom-properties" xmlns:vt="http://schemas.openxmlformats.org/officeDocument/2006/docPropsVTypes"/>
</file>