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01A4C"/>
            <w:tcMar>
              <w:top w:type="dxa" w:w="200"/>
              <w:left w:type="dxa" w:w="200"/>
              <w:bottom w:type="dxa" w:w="200"/>
              <w:right w:type="dxa" w:w="200"/>
            </w:tcMar>
          </w:tcPr>
          <w:p>
            <w:pPr>
              <w:spacing w:line="240"/>
              <w:jc w:val="center"/>
              <w:rPr>
                <w:rFonts w:ascii="Arial" w:cs="Arial" w:eastAsia="Arial" w:hAnsi="Arial"/>
                <w:b/>
                <w:bCs/>
                <w:color w:val="FFFFFF"/>
                <w:sz w:val="48"/>
                <w:szCs w:val="48"/>
              </w:rPr>
            </w:pPr>
            <w:r>
              <w:t xml:space="preserve">DC CAP SCHOLARS</w:t>
            </w:r>
          </w:p>
          <w:p>
            <w:pPr>
              <w:spacing w:after="240" w:line="240"/>
              <w:jc w:val="center"/>
              <w:rPr>
                <w:rFonts w:ascii="Arial" w:cs="Arial" w:eastAsia="Arial" w:hAnsi="Arial"/>
                <w:color w:val="FFFFFF"/>
                <w:sz w:val="28"/>
                <w:szCs w:val="28"/>
              </w:rPr>
            </w:pPr>
            <w:r>
              <w:t xml:space="preserve">AI Leadership Pilot — Portfolio Summary</w:t>
            </w:r>
          </w:p>
          <w:p>
            <w:pPr>
              <w:spacing w:after="120" w:line="240"/>
              <w:jc w:val="center"/>
              <w:rPr>
                <w:rFonts w:ascii="Arial" w:cs="Arial" w:eastAsia="Arial" w:hAnsi="Arial"/>
                <w:b/>
                <w:bCs/>
                <w:color w:val="FFFFFF"/>
                <w:sz w:val="44"/>
                <w:szCs w:val="44"/>
              </w:rPr>
            </w:pPr>
            <w:r>
              <w:t xml:space="preserve">The Governance Walk</w:t>
            </w:r>
          </w:p>
          <w:p>
            <w:pPr>
              <w:spacing w:line="240"/>
              <w:jc w:val="center"/>
              <w:rPr>
                <w:rFonts w:ascii="Georgia" w:cs="Georgia" w:eastAsia="Georgia" w:hAnsi="Georgia"/>
                <w:color w:val="FFFFFF"/>
                <w:sz w:val="22"/>
                <w:szCs w:val="22"/>
              </w:rPr>
            </w:pPr>
            <w:r>
              <w:t xml:space="preserve">Keisha Williams · Student Success · April 9, 2026</w:t>
            </w:r>
          </w:p>
        </w:tc>
      </w:tr>
    </w:tbl>
    <w:p/>
    <w:p>
      <w:pPr>
        <w:spacing w:after="200" w:line="200"/>
        <w:jc w:val="left"/>
        <w:rPr>
          <w:rFonts w:ascii="Arial" w:cs="Arial" w:eastAsia="Arial" w:hAnsi="Arial"/>
          <w:b/>
          <w:bCs/>
          <w:color w:val="8352FF"/>
          <w:sz w:val="24"/>
          <w:szCs w:val="24"/>
        </w:rPr>
      </w:pPr>
      <w:r>
        <w:t xml:space="preserve">COMPETENCIES &amp; ASSESSMENT</w:t>
      </w:r>
    </w:p>
    <w:p>
      <w:pPr>
        <w:spacing w:after="100" w:line="200"/>
        <w:jc w:val="left"/>
        <w:rPr>
          <w:rFonts w:ascii="Georgia" w:cs="Georgia" w:eastAsia="Georgia" w:hAnsi="Georgia"/>
          <w:b w:val="false"/>
          <w:bCs w:val="false"/>
          <w:color w:val="101A4C"/>
          <w:sz w:val="22"/>
          <w:szCs w:val="22"/>
        </w:rPr>
      </w:pPr>
      <w:r>
        <w:t xml:space="preserve">Diligence · Week 1 (April 6-9)</w:t>
      </w:r>
    </w:p>
    <w:p>
      <w:pPr>
        <w:spacing w:after="100" w:line="200"/>
        <w:jc w:val="left"/>
        <w:rPr>
          <w:rFonts w:ascii="Georgia" w:cs="Georgia" w:eastAsia="Georgia" w:hAnsi="Georgia"/>
          <w:b/>
          <w:bCs/>
          <w:color w:val="101A4C"/>
          <w:sz w:val="22"/>
          <w:szCs w:val="22"/>
        </w:rPr>
      </w:pPr>
      <w:r>
        <w:t xml:space="preserve">Final Assessment Level: Meets</w:t>
      </w:r>
    </w:p>
    <w:p/>
    <w:p>
      <w:pPr>
        <w:spacing w:after="200" w:line="200"/>
        <w:jc w:val="left"/>
        <w:rPr>
          <w:rFonts w:ascii="Arial" w:cs="Arial" w:eastAsia="Arial" w:hAnsi="Arial"/>
          <w:b/>
          <w:bCs/>
          <w:color w:val="8352FF"/>
          <w:sz w:val="26"/>
          <w:szCs w:val="26"/>
        </w:rPr>
      </w:pPr>
      <w:r>
        <w:t xml:space="preserve">PERFORMANCE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01A4C"/>
            <w:tcMar>
              <w:top w:type="dxa" w:w="100"/>
              <w:left w:type="dxa" w:w="100"/>
              <w:bottom w:type="dxa" w:w="100"/>
              <w:right w:type="dxa" w:w="100"/>
            </w:tcMar>
            <w:vAlign w:val="center"/>
          </w:tcPr>
          <w:p>
            <w:pPr>
              <w:spacing w:line="240"/>
              <w:jc w:val="left"/>
              <w:rPr>
                <w:b/>
                <w:bCs/>
                <w:color w:val="FFFFFF"/>
              </w:rPr>
            </w:pPr>
            <w:r>
              <w:t xml:space="preserve">Dimension</w:t>
            </w:r>
          </w:p>
        </w:tc>
        <w:tc>
          <w:tcPr>
            <w:shd w:fill="101A4C"/>
            <w:tcMar>
              <w:top w:type="dxa" w:w="100"/>
              <w:left w:type="dxa" w:w="100"/>
              <w:bottom w:type="dxa" w:w="100"/>
              <w:right w:type="dxa" w:w="100"/>
            </w:tcMar>
            <w:vAlign w:val="center"/>
          </w:tcPr>
          <w:p>
            <w:pPr>
              <w:spacing w:line="240"/>
              <w:jc w:val="left"/>
              <w:rPr>
                <w:b/>
                <w:bCs/>
                <w:color w:val="FFFFFF"/>
              </w:rPr>
            </w:pPr>
            <w:r>
              <w:t xml:space="preserve">Level</w:t>
            </w:r>
          </w:p>
        </w:tc>
        <w:tc>
          <w:tcPr>
            <w:shd w:fill="101A4C"/>
            <w:tcMar>
              <w:top w:type="dxa" w:w="100"/>
              <w:left w:type="dxa" w:w="100"/>
              <w:bottom w:type="dxa" w:w="100"/>
              <w:right w:type="dxa" w:w="100"/>
            </w:tcMar>
            <w:vAlign w:val="center"/>
          </w:tcPr>
          <w:p>
            <w:pPr>
              <w:spacing w:line="240"/>
              <w:jc w:val="left"/>
              <w:rPr>
                <w:b/>
                <w:bCs/>
                <w:color w:val="FFFFFF"/>
              </w:rPr>
            </w:pPr>
            <w:r>
              <w:t xml:space="preserve">Summary</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Classification Accuracy</w:t>
            </w:r>
          </w:p>
        </w:tc>
        <w:tc>
          <w:tcPr>
            <w:shd w:fill="FFFFFF"/>
            <w:tcMar>
              <w:top w:type="dxa" w:w="100"/>
              <w:left w:type="dxa" w:w="100"/>
              <w:bottom w:type="dxa" w:w="100"/>
              <w:right w:type="dxa" w:w="100"/>
            </w:tcMar>
            <w:vAlign w:val="center"/>
          </w:tcPr>
          <w:p>
            <w:pPr>
              <w:spacing w:line="240"/>
              <w:jc w:val="left"/>
              <w:rPr>
                <w:b/>
                <w:bCs/>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Initial: Meets → Revised: Meets</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Reasoning Specificity</w:t>
            </w:r>
          </w:p>
        </w:tc>
        <w:tc>
          <w:tcPr>
            <w:shd w:fill="FFF4ED"/>
            <w:tcMar>
              <w:top w:type="dxa" w:w="100"/>
              <w:left w:type="dxa" w:w="100"/>
              <w:bottom w:type="dxa" w:w="100"/>
              <w:right w:type="dxa" w:w="100"/>
            </w:tcMar>
            <w:vAlign w:val="center"/>
          </w:tcPr>
          <w:p>
            <w:pPr>
              <w:spacing w:line="240"/>
              <w:jc w:val="left"/>
              <w:rPr>
                <w:b/>
                <w:bCs/>
                <w:color w:val="101A4C"/>
              </w:rPr>
            </w:pPr>
            <w:r>
              <w:t xml:space="preserve">Exceeds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Initial: Meets → Revised: Exceeds</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Combination Awareness</w:t>
            </w:r>
          </w:p>
        </w:tc>
        <w:tc>
          <w:tcPr>
            <w:shd w:fill="FFFFFF"/>
            <w:tcMar>
              <w:top w:type="dxa" w:w="100"/>
              <w:left w:type="dxa" w:w="100"/>
              <w:bottom w:type="dxa" w:w="100"/>
              <w:right w:type="dxa" w:w="100"/>
            </w:tcMar>
            <w:vAlign w:val="center"/>
          </w:tcPr>
          <w:p>
            <w:pPr>
              <w:spacing w:line="240"/>
              <w:jc w:val="left"/>
              <w:rPr>
                <w:b/>
                <w:bCs/>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Initial: Approaching → Revised: Meets</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Governance Application</w:t>
            </w:r>
          </w:p>
        </w:tc>
        <w:tc>
          <w:tcPr>
            <w:shd w:fill="FFF4ED"/>
            <w:tcMar>
              <w:top w:type="dxa" w:w="100"/>
              <w:left w:type="dxa" w:w="100"/>
              <w:bottom w:type="dxa" w:w="100"/>
              <w:right w:type="dxa" w:w="100"/>
            </w:tcMar>
            <w:vAlign w:val="center"/>
          </w:tcPr>
          <w:p>
            <w:pPr>
              <w:spacing w:line="240"/>
              <w:jc w:val="left"/>
              <w:rPr>
                <w:b/>
                <w:bCs/>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Initial: Meets → Revised: Meets</w:t>
            </w:r>
          </w:p>
        </w:tc>
      </w:tr>
    </w:tbl>
    <w:p/>
    <w:p>
      <w:pPr>
        <w:spacing w:after="200" w:line="200"/>
        <w:jc w:val="left"/>
        <w:rPr>
          <w:rFonts w:ascii="Arial" w:cs="Arial" w:eastAsia="Arial" w:hAnsi="Arial"/>
          <w:b/>
          <w:bCs/>
          <w:color w:val="8352FF"/>
          <w:sz w:val="26"/>
          <w:szCs w:val="26"/>
        </w:rPr>
      </w:pPr>
      <w:r>
        <w:t xml:space="preserve">PARTICIPANT REFLECTION</w:t>
      </w:r>
    </w:p>
    <w:p>
      <w:pPr>
        <w:spacing w:after="100" w:line="200"/>
        <w:jc w:val="left"/>
        <w:rPr>
          <w:rFonts w:ascii="Georgia" w:cs="Georgia" w:eastAsia="Georgia" w:hAnsi="Georgia"/>
          <w:b w:val="false"/>
          <w:bCs w:val="false"/>
          <w:color w:val="101A4C"/>
          <w:sz w:val="22"/>
          <w:szCs w:val="22"/>
        </w:rPr>
      </w:pPr>
      <w:r>
        <w:t xml:space="preserve">"Your strongest dimension was Classification Accuracy and Governance Application, where you correctly identified all three tiers and their handling requirements. Your widest growth area was Combination Awareness. Look at Scenarios A and C — they're both aggregates that become risky at small cells. What made combination analysis harder for you than straight tier classification?"</w:t>
      </w:r>
    </w:p>
    <w:p>
      <w:pPr>
        <w:spacing w:after="100" w:line="200"/>
        <w:jc w:val="left"/>
        <w:rPr>
          <w:rFonts w:ascii="Georgia" w:cs="Georgia" w:eastAsia="Georgia" w:hAnsi="Georgia"/>
          <w:b w:val="false"/>
          <w:bCs w:val="false"/>
          <w:color w:val="101A4C"/>
          <w:sz w:val="22"/>
          <w:szCs w:val="22"/>
        </w:rPr>
      </w:pPr>
      <w:r>
        <w:t xml:space="preserve">I think the tier classification felt more straightforward because the framework definitions are clear — I can check off whether something has PII, FERPA data, small cells, etc. But the combination analysis required me to think about how data could be used together, which meant imagining attack vectors I hadn't encountered. For Scenario A, I knew the university breakdown was risky, but I had to think through *why* small universities made it worse. For Scenario C, I needed to imagine the specific steps someone would take to re-identify people — knowing the school, knowing DC CAP works there, looking up the roster. That's a different skill than categorization. Once I mapped out those steps, the risk became concrete instead of abstract.</w:t>
      </w:r>
    </w:p>
    <w:p/>
    <w:p>
      <w:pPr>
        <w:spacing w:after="200" w:line="200"/>
        <w:jc w:val="left"/>
        <w:rPr>
          <w:rFonts w:ascii="Arial" w:cs="Arial" w:eastAsia="Arial" w:hAnsi="Arial"/>
          <w:b/>
          <w:bCs/>
          <w:color w:val="8352FF"/>
          <w:sz w:val="26"/>
          <w:szCs w:val="26"/>
        </w:rPr>
      </w:pPr>
      <w:r>
        <w:t xml:space="preserve">FACILITATOR INSIGHT</w:t>
      </w:r>
    </w:p>
    <w:p>
      <w:pPr>
        <w:spacing w:after="100" w:line="200"/>
        <w:jc w:val="left"/>
        <w:rPr>
          <w:rFonts w:ascii="Georgia" w:cs="Georgia" w:eastAsia="Georgia" w:hAnsi="Georgia"/>
          <w:b w:val="false"/>
          <w:bCs w:val="false"/>
          <w:color w:val="101A4C"/>
          <w:sz w:val="22"/>
          <w:szCs w:val="22"/>
        </w:rPr>
      </w:pPr>
      <w:r>
        <w:t xml:space="preserve">Pattern: This participant moved from abstract risk awareness to mechanistic re-identification reasoning. Initial work showed correct tier choices but vague combination analysis ('could enable inference'). Revision traced specific pathways (small denominator + public data = identification). This reflects strong learning agility — the participant identified the gap, then systematically filled it by working through concrete examples rather than memorizing rules.</w:t>
      </w:r>
    </w:p>
    <w:p/>
    <w:p>
      <w:pPr>
        <w:spacing w:after="100" w:line="200"/>
        <w:jc w:val="left"/>
        <w:rPr>
          <w:rFonts w:ascii="Georgia" w:cs="Georgia" w:eastAsia="Georgia" w:hAnsi="Georgia"/>
          <w:b w:val="false"/>
          <w:bCs w:val="false"/>
          <w:color w:val="101A4C"/>
          <w:sz w:val="22"/>
          <w:szCs w:val="22"/>
        </w:rPr>
      </w:pPr>
      <w:r>
        <w:t xml:space="preserve">For Peer Discussion: "When you're looking at your own data, how do you decide whether combining two pieces of information creates risk? Keisha's revised reasoning walks through a specific pathway: know the total, know the count, estimate the individual values. Are there other combination patterns at DC CAP that follow this same logic? What's the threshold where you feel confident saying 'combination is safe'?"</w:t>
      </w:r>
    </w:p>
    <w:p/>
    <w:p/>
    <w:p>
      <w:pPr>
        <w:spacing w:after="100" w:line="200"/>
        <w:jc w:val="center"/>
        <w:rPr>
          <w:rFonts w:ascii="Georgia" w:cs="Georgia" w:eastAsia="Georgia" w:hAnsi="Georgia"/>
          <w:b w:val="false"/>
          <w:bCs w:val="false"/>
          <w:color w:val="101A4C"/>
          <w:sz w:val="20"/>
          <w:szCs w:val="20"/>
        </w:rPr>
      </w:pPr>
      <w:r>
        <w:t xml:space="preserve">DC CAP · dccapscholars.org</w:t>
      </w:r>
    </w:p>
    <w:p>
      <w:pPr>
        <w:spacing w:after="100" w:line="200"/>
        <w:jc w:val="center"/>
        <w:rPr>
          <w:rFonts w:ascii="Georgia" w:cs="Georgia" w:eastAsia="Georgia" w:hAnsi="Georgia"/>
          <w:b w:val="false"/>
          <w:bCs w:val="false"/>
          <w:color w:val="101A4C"/>
          <w:sz w:val="20"/>
          <w:szCs w:val="20"/>
        </w:rPr>
      </w:pPr>
      <w:r>
        <w:t xml:space="preserve">AI Deployment Leadership Training Pilot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2026-04-10T11:17:35.744Z</dcterms:created>
  <dcterms:modified xsi:type="dcterms:W3CDTF">2026-04-10T11:17:35.744Z</dcterms:modified>
</cp:coreProperties>
</file>

<file path=docProps/custom.xml><?xml version="1.0" encoding="utf-8"?>
<Properties xmlns="http://schemas.openxmlformats.org/officeDocument/2006/custom-properties" xmlns:vt="http://schemas.openxmlformats.org/officeDocument/2006/docPropsVTypes"/>
</file>