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01A4C"/>
          <w:sz w:val="44"/>
          <w:szCs w:val="44"/>
        </w:rPr>
        <w:t xml:space="preserve">CTO COHORT PEER REVIEW</w:t>
      </w:r>
    </w:p>
    <w:p>
      <w:pPr>
        <w:spacing w:after="40"/>
      </w:pPr>
      <w:r>
        <w:rPr>
          <w:rFonts w:ascii="Arial" w:cs="Arial" w:eastAsia="Arial" w:hAnsi="Arial"/>
          <w:color w:val="6B3FA0"/>
          <w:sz w:val="32"/>
          <w:szCs w:val="32"/>
        </w:rPr>
        <w:t xml:space="preserve">dccapinnovation.org</w:t>
      </w:r>
    </w:p>
    <w:p>
      <w:pPr>
        <w:pBdr>
          <w:bottom w:val="single" w:color="FCB017" w:sz="8" w:space="8"/>
        </w:pBdr>
        <w:spacing w:after="40"/>
      </w:pPr>
      <w:r>
        <w:rPr>
          <w:rFonts w:ascii="Arial" w:cs="Arial" w:eastAsia="Arial" w:hAnsi="Arial"/>
          <w:color w:val="666666"/>
          <w:sz w:val="24"/>
          <w:szCs w:val="24"/>
        </w:rPr>
        <w:t xml:space="preserve">DC CAP Enterprise AI Leadership Pilot Site</w:t>
      </w:r>
    </w:p>
    <w:p>
      <w:pPr>
        <w:spacing w:after="200"/>
      </w:pPr>
      <w:r>
        <w:rPr>
          <w:rFonts w:ascii="Arial" w:cs="Arial" w:eastAsia="Arial" w:hAnsi="Arial"/>
          <w:color w:val="888888"/>
          <w:sz w:val="20"/>
          <w:szCs w:val="20"/>
        </w:rPr>
        <w:t xml:space="preserve">April 2026  |  18 pages audited  |  5 dimensions assessed</w:t>
      </w:r>
    </w:p>
    <w:p>
      <w:pPr>
        <w:pStyle w:val="Heading1"/>
      </w:pPr>
      <w:r>
        <w:t xml:space="preserve">Executive Summary</w:t>
      </w:r>
    </w:p>
    <w:p>
      <w:pPr>
        <w:spacing w:after="120"/>
      </w:pPr>
      <w:r>
        <w:t xml:space="preserve">We came to this site as CTOs who just watched Preston present, and we left genuinely impressed. This is the most complete enterprise AI governance platform we have seen built by a nonprofit. The site covers onboarding, fluency training, governance policy, data classification, interactive activities, KPI measurement, and facilitation guidance across 18 interconnected HTML pages. The pedagogical design is strong, the visual system is cohesive, and the content reflects real operational thinking about how AI adoption actually works inside organizations.</w:t>
      </w:r>
    </w:p>
    <w:p>
      <w:pPr>
        <w:spacing w:after="120"/>
      </w:pPr>
      <w:r>
        <w:t xml:space="preserve">That said, we found issues that matter. Three categories stand out: security and data integrity concerns that need fixing before broader rollout, flow and navigation gaps that create friction for self-directed learners, and interactive elements that work on happy paths but lack defensive architecture for real-world conditions. None of these undermine the fundamental quality of the work. They represent the gap between a strong MVP built for a controlled pilot cohort and a platform ready for enterprise scale.</w:t>
      </w:r>
    </w:p>
    <w:p>
      <w:pPr>
        <w:spacing w:after="120"/>
      </w:pPr>
      <w:r>
        <w:t xml:space="preserve">The recommendations below are organized by what to fix now, what to address in the next two weeks, and what to build toward for the post-pilot rollout.</w:t>
      </w:r>
    </w:p>
    <w:p>
      <w:pPr>
        <w:pStyle w:val="Heading1"/>
      </w:pPr>
      <w:r>
        <w:t xml:space="preserve">Composite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01A4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01A4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5360"/>
            <w:tcBorders>
              <w:top w:val="single" w:color="CCCCCC" w:sz="1"/>
              <w:left w:val="single" w:color="CCCCCC" w:sz="1"/>
              <w:bottom w:val="single" w:color="CCCCCC" w:sz="1"/>
              <w:right w:val="single" w:color="CCCCCC" w:sz="1"/>
            </w:tcBorders>
            <w:shd w:fill="101A4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01A4C"/>
                <w:sz w:val="20"/>
                <w:szCs w:val="20"/>
              </w:rPr>
              <w:t xml:space="preserve">8.5 / 10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Substantive, honest, well-grounded. 4D framework is original and teachable. Governance policy is more mature than most Fortune 500 deployments we have seen.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01A4C"/>
                <w:sz w:val="20"/>
                <w:szCs w:val="20"/>
              </w:rPr>
              <w:t xml:space="preserve">8 / 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Cohesive design system with responsive typography, accessibility support, and professional polish. Minor inconsistencies in card elevation and inline styles.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Organization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01A4C"/>
                <w:sz w:val="20"/>
                <w:szCs w:val="20"/>
              </w:rPr>
              <w:t xml:space="preserve">7 / 10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Strong within-page architecture. Weak cross-page navigation: no breadcrumbs, no search, no site index. Users must memorize the 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01A4C"/>
                <w:sz w:val="20"/>
                <w:szCs w:val="20"/>
              </w:rPr>
              <w:t xml:space="preserve">7 / 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Prerequisite gating is sophisticated. Survey gate redirect is abrupt. Completion tracking works but lacks audit trail timestamps. Survey time estimate is inaccurate.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Activities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01A4C"/>
                <w:sz w:val="20"/>
                <w:szCs w:val="20"/>
              </w:rPr>
              <w:t xml:space="preserve">7.5 / 10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Excellent pedagogical scaffolding. Delegation matrix, scenario cards, and output audit trap are standouts. Interactive state does not persist. No export mechanism for facilitators.</w:t>
            </w:r>
          </w:p>
        </w:tc>
      </w:tr>
    </w:tbl>
    <w:p>
      <w:pPr>
        <w:spacing w:after="200"/>
      </w:pPr>
    </w:p>
    <w:p>
      <w:pPr>
        <w:pStyle w:val="Heading1"/>
      </w:pPr>
      <w:r>
        <w:t xml:space="preserve">1. Content</w:t>
      </w:r>
    </w:p>
    <w:p>
      <w:pPr>
        <w:spacing w:after="120"/>
      </w:pPr>
      <w:r>
        <w:t xml:space="preserve">The content across all 18 pages demonstrates deep operational thinking about AI adoption. This is clearly built by someone who has implemented the program, experienced the governance tensions firsthand, and designed training materials grounded in what leaders actually need to know.</w:t>
      </w:r>
    </w:p>
    <w:p>
      <w:pPr>
        <w:pStyle w:val="Heading2"/>
      </w:pPr>
      <w:r>
        <w:t xml:space="preserve">What Works</w:t>
      </w:r>
    </w:p>
    <w:p>
      <w:pPr>
        <w:pStyle w:val="ListParagraph"/>
        <w:numPr>
          <w:ilvl w:val="0"/>
          <w:numId w:val="2"/>
        </w:numPr>
        <w:spacing w:after="80"/>
      </w:pPr>
      <w:r>
        <w:rPr>
          <w:rFonts w:ascii="Arial" w:cs="Arial" w:eastAsia="Arial" w:hAnsi="Arial"/>
          <w:sz w:val="22"/>
          <w:szCs w:val="22"/>
        </w:rPr>
        <w:t xml:space="preserve">The 4D Competency Framework (Delegation, Description, Discernment, Diligence) is original, memorable, and practically structured. Each competency maps to three sub-competencies with action verbs, creating genuine cognitive scaffolding rather than taxonomy for its own sake.</w:t>
      </w:r>
    </w:p>
    <w:p>
      <w:pPr>
        <w:pStyle w:val="ListParagraph"/>
        <w:numPr>
          <w:ilvl w:val="0"/>
          <w:numId w:val="2"/>
        </w:numPr>
        <w:spacing w:after="80"/>
      </w:pPr>
      <w:r>
        <w:rPr>
          <w:rFonts w:ascii="Arial" w:cs="Arial" w:eastAsia="Arial" w:hAnsi="Arial"/>
          <w:sz w:val="22"/>
          <w:szCs w:val="22"/>
        </w:rPr>
        <w:t xml:space="preserve">The governance framework is comprehensive: data classification tiers, phased adoption plan, security configuration, roles and responsibilities, acceptable use policy, incident response, and measurement. It references FERPA and GEAR UP requirements specifically, which grounds it in DC CAP's regulatory reality.</w:t>
      </w:r>
    </w:p>
    <w:p>
      <w:pPr>
        <w:pStyle w:val="ListParagraph"/>
        <w:numPr>
          <w:ilvl w:val="0"/>
          <w:numId w:val="2"/>
        </w:numPr>
        <w:spacing w:after="80"/>
      </w:pPr>
      <w:r>
        <w:rPr>
          <w:rFonts w:ascii="Arial" w:cs="Arial" w:eastAsia="Arial" w:hAnsi="Arial"/>
          <w:sz w:val="22"/>
          <w:szCs w:val="22"/>
        </w:rPr>
        <w:t xml:space="preserve">Honest framing throughout. The site acknowledges a 24-point knowing-doing gap in the pilot cohort and cites the 95% enterprise AI pilot failure rate. This builds credibility with sophisticated audiences.</w:t>
      </w:r>
    </w:p>
    <w:p>
      <w:pPr>
        <w:pStyle w:val="ListParagraph"/>
        <w:numPr>
          <w:ilvl w:val="0"/>
          <w:numId w:val="2"/>
        </w:numPr>
        <w:spacing w:after="80"/>
      </w:pPr>
      <w:r>
        <w:rPr>
          <w:rFonts w:ascii="Arial" w:cs="Arial" w:eastAsia="Arial" w:hAnsi="Arial"/>
          <w:sz w:val="22"/>
          <w:szCs w:val="22"/>
        </w:rPr>
        <w:t xml:space="preserve">The KPI Framework uses a three-tier measurement model with specific thresholds (SCALE/PAUSE/PIVOT decision criteria at 80%+ completion targets). Measurable, time-bound, and decision-driving.</w:t>
      </w:r>
    </w:p>
    <w:p>
      <w:pPr>
        <w:pStyle w:val="ListParagraph"/>
        <w:numPr>
          <w:ilvl w:val="0"/>
          <w:numId w:val="2"/>
        </w:numPr>
        <w:spacing w:after="80"/>
      </w:pPr>
      <w:r>
        <w:rPr>
          <w:rFonts w:ascii="Arial" w:cs="Arial" w:eastAsia="Arial" w:hAnsi="Arial"/>
          <w:sz w:val="22"/>
          <w:szCs w:val="22"/>
        </w:rPr>
        <w:t xml:space="preserve">Conference decks position governance as competitive advantage with authentic sector framing. The barriers section (fear/control, demonstrating value, uneven adoption, institutional priority) is practical and acknowledged rather than glossed over.</w:t>
      </w:r>
    </w:p>
    <w:p>
      <w:pPr>
        <w:pStyle w:val="Heading2"/>
      </w:pPr>
      <w:r>
        <w:t xml:space="preserve">What Needs Attention</w:t>
      </w:r>
    </w:p>
    <w:p>
      <w:pPr>
        <w:pStyle w:val="ListParagraph"/>
        <w:numPr>
          <w:ilvl w:val="0"/>
          <w:numId w:val="2"/>
        </w:numPr>
        <w:spacing w:after="80"/>
      </w:pPr>
      <w:r>
        <w:rPr>
          <w:rFonts w:ascii="Arial" w:cs="Arial" w:eastAsia="Arial" w:hAnsi="Arial"/>
          <w:sz w:val="22"/>
          <w:szCs w:val="22"/>
        </w:rPr>
        <w:t xml:space="preserve">Terminology drift between pages. The Modalities section (Automation, Augmentation, Agency) appears in the fluency framework, glossary, and terminology pages with slightly different emphasis and framing each time. Pilot participants will notice if definitions shift.</w:t>
      </w:r>
    </w:p>
    <w:p>
      <w:pPr>
        <w:pStyle w:val="ListParagraph"/>
        <w:numPr>
          <w:ilvl w:val="0"/>
          <w:numId w:val="2"/>
        </w:numPr>
        <w:spacing w:after="80"/>
      </w:pPr>
      <w:r>
        <w:rPr>
          <w:rFonts w:ascii="Arial" w:cs="Arial" w:eastAsia="Arial" w:hAnsi="Arial"/>
          <w:sz w:val="22"/>
          <w:szCs w:val="22"/>
        </w:rPr>
        <w:t xml:space="preserve">Week 1 start date is inconsistent. The KPI Framework shows April 7-11; the Weekly Check-In shows April 6-12. If data collection begins before alignment, the entire dataset is compromised.</w:t>
      </w:r>
    </w:p>
    <w:p>
      <w:pPr>
        <w:pStyle w:val="ListParagraph"/>
        <w:numPr>
          <w:ilvl w:val="0"/>
          <w:numId w:val="2"/>
        </w:numPr>
        <w:spacing w:after="80"/>
      </w:pPr>
      <w:r>
        <w:rPr>
          <w:rFonts w:ascii="Arial" w:cs="Arial" w:eastAsia="Arial" w:hAnsi="Arial"/>
          <w:sz w:val="22"/>
          <w:szCs w:val="22"/>
        </w:rPr>
        <w:t xml:space="preserve">Escalation paths are incomplete. The Start Here guide names Preston Magouirk as the escalation point for data security questions but provides no contact method: no email, Slack handle, or phone number.</w:t>
      </w:r>
    </w:p>
    <w:p>
      <w:pPr>
        <w:pStyle w:val="ListParagraph"/>
        <w:numPr>
          <w:ilvl w:val="0"/>
          <w:numId w:val="2"/>
        </w:numPr>
        <w:spacing w:after="80"/>
      </w:pPr>
      <w:r>
        <w:rPr>
          <w:rFonts w:ascii="Arial" w:cs="Arial" w:eastAsia="Arial" w:hAnsi="Arial"/>
          <w:sz w:val="22"/>
          <w:szCs w:val="22"/>
        </w:rPr>
        <w:t xml:space="preserve">Regulatory coverage has a gap. The governance framework addresses FERPA and GEAR UP but does not reference COPPA (relevant if any data touches students under 13), Virginia VPBA, or 34 CFR requirements. For a nonprofit handling federal student aid data, these are worth acknowledging even if out of scope.</w:t>
      </w:r>
    </w:p>
    <w:p>
      <w:pPr>
        <w:pStyle w:val="ListParagraph"/>
        <w:numPr>
          <w:ilvl w:val="0"/>
          <w:numId w:val="2"/>
        </w:numPr>
        <w:spacing w:after="80"/>
      </w:pPr>
      <w:r>
        <w:rPr>
          <w:rFonts w:ascii="Arial" w:cs="Arial" w:eastAsia="Arial" w:hAnsi="Arial"/>
          <w:sz w:val="22"/>
          <w:szCs w:val="22"/>
        </w:rPr>
        <w:t xml:space="preserve">The 19 Deliverables Shipped claim in the conference deck has no hyperlinks to an artifact library or evidence inventory. A CTO audience will want to verify.</w:t>
      </w:r>
    </w:p>
    <w:p>
      <w:r>
        <w:br w:type="page"/>
      </w:r>
    </w:p>
    <w:p>
      <w:pPr>
        <w:pStyle w:val="Heading1"/>
      </w:pPr>
      <w:r>
        <w:t xml:space="preserve">2. Presentation</w:t>
      </w:r>
    </w:p>
    <w:p>
      <w:pPr>
        <w:spacing w:after="120"/>
      </w:pPr>
      <w:r>
        <w:t xml:space="preserve">The visual system is one of this site's strongest assets. It communicates professional seriousness without looking corporate, which is exactly the right register for a nonprofit AI governance platform.</w:t>
      </w:r>
    </w:p>
    <w:p>
      <w:pPr>
        <w:pStyle w:val="Heading2"/>
      </w:pPr>
      <w:r>
        <w:t xml:space="preserve">What Works</w:t>
      </w:r>
    </w:p>
    <w:p>
      <w:pPr>
        <w:pStyle w:val="ListParagraph"/>
        <w:numPr>
          <w:ilvl w:val="0"/>
          <w:numId w:val="2"/>
        </w:numPr>
        <w:spacing w:after="80"/>
      </w:pPr>
      <w:r>
        <w:rPr>
          <w:rFonts w:ascii="Arial" w:cs="Arial" w:eastAsia="Arial" w:hAnsi="Arial"/>
          <w:sz w:val="22"/>
          <w:szCs w:val="22"/>
        </w:rPr>
        <w:t xml:space="preserve">Consistent design system across all 18 pages: Navy (#101A4C), Purple (#8352FF), Blue (#87B7D5), Gold (#FCB017). Typography hierarchy uses Noto Serif for body, JetBrains Mono for code contexts, with clamp()-based responsive scaling from mobile to 4K.</w:t>
      </w:r>
    </w:p>
    <w:p>
      <w:pPr>
        <w:pStyle w:val="ListParagraph"/>
        <w:numPr>
          <w:ilvl w:val="0"/>
          <w:numId w:val="2"/>
        </w:numPr>
        <w:spacing w:after="80"/>
      </w:pPr>
      <w:r>
        <w:rPr>
          <w:rFonts w:ascii="Arial" w:cs="Arial" w:eastAsia="Arial" w:hAnsi="Arial"/>
          <w:sz w:val="22"/>
          <w:szCs w:val="22"/>
        </w:rPr>
        <w:t xml:space="preserve">Accessibility foundations are real: prefers-reduced-motion is respected on every page, ARIA roles on tab navigation, minimum 44px touch targets on buttons, high-contrast color combinations that pass WCAG AA.</w:t>
      </w:r>
    </w:p>
    <w:p>
      <w:pPr>
        <w:pStyle w:val="ListParagraph"/>
        <w:numPr>
          <w:ilvl w:val="0"/>
          <w:numId w:val="2"/>
        </w:numPr>
        <w:spacing w:after="80"/>
      </w:pPr>
      <w:r>
        <w:rPr>
          <w:rFonts w:ascii="Arial" w:cs="Arial" w:eastAsia="Arial" w:hAnsi="Arial"/>
          <w:sz w:val="22"/>
          <w:szCs w:val="22"/>
        </w:rPr>
        <w:t xml:space="preserve">Print stylesheets exist on all content pages with proper page-break handling, nav hiding, and color adjustments. This matters for facilitators printing reference materials.</w:t>
      </w:r>
    </w:p>
    <w:p>
      <w:pPr>
        <w:pStyle w:val="ListParagraph"/>
        <w:numPr>
          <w:ilvl w:val="0"/>
          <w:numId w:val="2"/>
        </w:numPr>
        <w:spacing w:after="80"/>
      </w:pPr>
      <w:r>
        <w:rPr>
          <w:rFonts w:ascii="Arial" w:cs="Arial" w:eastAsia="Arial" w:hAnsi="Arial"/>
          <w:sz w:val="22"/>
          <w:szCs w:val="22"/>
        </w:rPr>
        <w:t xml:space="preserve">Scroll-reveal animations with IntersectionObserver create visual hierarchy and reading rhythm without being gratuitous. Staggered delays make content feel intentional.</w:t>
      </w:r>
    </w:p>
    <w:p>
      <w:pPr>
        <w:pStyle w:val="Heading2"/>
      </w:pPr>
      <w:r>
        <w:t xml:space="preserve">What Needs Attention</w:t>
      </w:r>
    </w:p>
    <w:p>
      <w:pPr>
        <w:pStyle w:val="ListParagraph"/>
        <w:numPr>
          <w:ilvl w:val="0"/>
          <w:numId w:val="2"/>
        </w:numPr>
        <w:spacing w:after="80"/>
      </w:pPr>
      <w:r>
        <w:rPr>
          <w:rFonts w:ascii="Arial" w:cs="Arial" w:eastAsia="Arial" w:hAnsi="Arial"/>
          <w:sz w:val="22"/>
          <w:szCs w:val="22"/>
        </w:rPr>
        <w:t xml:space="preserve">The Akkordeon Ten font is declared in the display font stack across all pages but never loaded via @import or link tag. Every page silently falls back to Noto Serif SemiCondensed. Either load the font or remove it from the stack.</w:t>
      </w:r>
    </w:p>
    <w:p>
      <w:pPr>
        <w:pStyle w:val="ListParagraph"/>
        <w:numPr>
          <w:ilvl w:val="0"/>
          <w:numId w:val="2"/>
        </w:numPr>
        <w:spacing w:after="80"/>
      </w:pPr>
      <w:r>
        <w:rPr>
          <w:rFonts w:ascii="Arial" w:cs="Arial" w:eastAsia="Arial" w:hAnsi="Arial"/>
          <w:sz w:val="22"/>
          <w:szCs w:val="22"/>
        </w:rPr>
        <w:t xml:space="preserve">SVG noise texture overlays on hero sections (feTurbulence filter at opacity 0.04) are computationally expensive and provide minimal visual value. On older devices or low-powered mobile, these will throttle performance.</w:t>
      </w:r>
    </w:p>
    <w:p>
      <w:pPr>
        <w:pStyle w:val="ListParagraph"/>
        <w:numPr>
          <w:ilvl w:val="0"/>
          <w:numId w:val="2"/>
        </w:numPr>
        <w:spacing w:after="80"/>
      </w:pPr>
      <w:r>
        <w:rPr>
          <w:rFonts w:ascii="Arial" w:cs="Arial" w:eastAsia="Arial" w:hAnsi="Arial"/>
          <w:sz w:val="22"/>
          <w:szCs w:val="22"/>
        </w:rPr>
        <w:t xml:space="preserve">Inline styles coexist with CSS classes inconsistently. Some status badges use inline background/color declarations while identical elements use CSS classes. This creates maintenance burden as the site scales.</w:t>
      </w:r>
    </w:p>
    <w:p>
      <w:pPr>
        <w:pStyle w:val="ListParagraph"/>
        <w:numPr>
          <w:ilvl w:val="0"/>
          <w:numId w:val="2"/>
        </w:numPr>
        <w:spacing w:after="80"/>
      </w:pPr>
      <w:r>
        <w:rPr>
          <w:rFonts w:ascii="Arial" w:cs="Arial" w:eastAsia="Arial" w:hAnsi="Arial"/>
          <w:sz w:val="22"/>
          <w:szCs w:val="22"/>
        </w:rPr>
        <w:t xml:space="preserve">Print styles do not hide the identity gate overlay or session restore overlay. Printing a page with these modals active produces a blank sheet.</w:t>
      </w:r>
    </w:p>
    <w:p>
      <w:pPr>
        <w:pStyle w:val="ListParagraph"/>
        <w:numPr>
          <w:ilvl w:val="0"/>
          <w:numId w:val="2"/>
        </w:numPr>
        <w:spacing w:after="80"/>
      </w:pPr>
      <w:r>
        <w:rPr>
          <w:rFonts w:ascii="Arial" w:cs="Arial" w:eastAsia="Arial" w:hAnsi="Arial"/>
          <w:sz w:val="22"/>
          <w:szCs w:val="22"/>
        </w:rPr>
        <w:t xml:space="preserve">Every page embeds its own complete CSS. No shared stylesheet exists. A design system change requires updating 18 files individually.</w:t>
      </w:r>
    </w:p>
    <w:p>
      <w:r>
        <w:br w:type="page"/>
      </w:r>
    </w:p>
    <w:p>
      <w:pPr>
        <w:pStyle w:val="Heading1"/>
      </w:pPr>
      <w:r>
        <w:t xml:space="preserve">3. Organization</w:t>
      </w:r>
    </w:p>
    <w:p>
      <w:pPr>
        <w:spacing w:after="120"/>
      </w:pPr>
      <w:r>
        <w:t xml:space="preserve">Within individual pages, the information architecture is strong. The pilot hub organizes 8 sections with clear hierarchy. The governance framework uses 14 anchored sections with sticky navigation. Tab-based content on the Start Here and Activity pages creates manageable chunks. The challenge is cross-page navigation.</w:t>
      </w:r>
    </w:p>
    <w:p>
      <w:pPr>
        <w:pStyle w:val="Heading2"/>
      </w:pPr>
      <w:r>
        <w:t xml:space="preserve">What Works</w:t>
      </w:r>
    </w:p>
    <w:p>
      <w:pPr>
        <w:pStyle w:val="ListParagraph"/>
        <w:numPr>
          <w:ilvl w:val="0"/>
          <w:numId w:val="2"/>
        </w:numPr>
        <w:spacing w:after="80"/>
      </w:pPr>
      <w:r>
        <w:rPr>
          <w:rFonts w:ascii="Arial" w:cs="Arial" w:eastAsia="Arial" w:hAnsi="Arial"/>
          <w:sz w:val="22"/>
          <w:szCs w:val="22"/>
        </w:rPr>
        <w:t xml:space="preserve">The pilot hub functions as a genuine command center: hero, goals, prerequisites, leadership module, resources, daily briefing, external field guide. Logical and scannable.</w:t>
      </w:r>
    </w:p>
    <w:p>
      <w:pPr>
        <w:pStyle w:val="ListParagraph"/>
        <w:numPr>
          <w:ilvl w:val="0"/>
          <w:numId w:val="2"/>
        </w:numPr>
        <w:spacing w:after="80"/>
      </w:pPr>
      <w:r>
        <w:rPr>
          <w:rFonts w:ascii="Arial" w:cs="Arial" w:eastAsia="Arial" w:hAnsi="Arial"/>
          <w:sz w:val="22"/>
          <w:szCs w:val="22"/>
        </w:rPr>
        <w:t xml:space="preserve">Prerequisite gating enforces a correct learning sequence: survey first, then Start Here and governance guides, then Academy courses, then account provisioning. This prevents learners from skipping foundational context.</w:t>
      </w:r>
    </w:p>
    <w:p>
      <w:pPr>
        <w:pStyle w:val="ListParagraph"/>
        <w:numPr>
          <w:ilvl w:val="0"/>
          <w:numId w:val="2"/>
        </w:numPr>
        <w:spacing w:after="80"/>
      </w:pPr>
      <w:r>
        <w:rPr>
          <w:rFonts w:ascii="Arial" w:cs="Arial" w:eastAsia="Arial" w:hAnsi="Arial"/>
          <w:sz w:val="22"/>
          <w:szCs w:val="22"/>
        </w:rPr>
        <w:t xml:space="preserve">Resource organization on the hub uses status badges (Available, Coming Soon) that communicate what is ready without hiding what is planned.</w:t>
      </w:r>
    </w:p>
    <w:p>
      <w:pPr>
        <w:pStyle w:val="ListParagraph"/>
        <w:numPr>
          <w:ilvl w:val="0"/>
          <w:numId w:val="2"/>
        </w:numPr>
        <w:spacing w:after="80"/>
      </w:pPr>
      <w:r>
        <w:rPr>
          <w:rFonts w:ascii="Arial" w:cs="Arial" w:eastAsia="Arial" w:hAnsi="Arial"/>
          <w:sz w:val="22"/>
          <w:szCs w:val="22"/>
        </w:rPr>
        <w:t xml:space="preserve">Tab navigation on content pages uses sticky positioning with ARIA roles, keyboard support (arrow keys, Home/End), and active state styling. Functionally solid.</w:t>
      </w:r>
    </w:p>
    <w:p>
      <w:pPr>
        <w:pStyle w:val="Heading2"/>
      </w:pPr>
      <w:r>
        <w:t xml:space="preserve">What Needs Attention</w:t>
      </w:r>
    </w:p>
    <w:p>
      <w:pPr>
        <w:pStyle w:val="ListParagraph"/>
        <w:numPr>
          <w:ilvl w:val="0"/>
          <w:numId w:val="2"/>
        </w:numPr>
        <w:spacing w:after="80"/>
      </w:pPr>
      <w:r>
        <w:rPr>
          <w:rFonts w:ascii="Arial" w:cs="Arial" w:eastAsia="Arial" w:hAnsi="Arial"/>
          <w:sz w:val="22"/>
          <w:szCs w:val="22"/>
        </w:rPr>
        <w:t xml:space="preserve">No cross-page navigation exists. A user on Key Terminology has no button to jump to the Glossary or Fluency Framework. Every navigation path requires returning to the hub first. For 18 pages of interconnected content, this creates significant friction.</w:t>
      </w:r>
    </w:p>
    <w:p>
      <w:pPr>
        <w:pStyle w:val="ListParagraph"/>
        <w:numPr>
          <w:ilvl w:val="0"/>
          <w:numId w:val="2"/>
        </w:numPr>
        <w:spacing w:after="80"/>
      </w:pPr>
      <w:r>
        <w:rPr>
          <w:rFonts w:ascii="Arial" w:cs="Arial" w:eastAsia="Arial" w:hAnsi="Arial"/>
          <w:sz w:val="22"/>
          <w:szCs w:val="22"/>
        </w:rPr>
        <w:t xml:space="preserve">No breadcrumb or 'you are here' indicator on any page. Users who arrive via direct link or bookmark have no context for where they sit in the pilot sequence.</w:t>
      </w:r>
    </w:p>
    <w:p>
      <w:pPr>
        <w:pStyle w:val="ListParagraph"/>
        <w:numPr>
          <w:ilvl w:val="0"/>
          <w:numId w:val="2"/>
        </w:numPr>
        <w:spacing w:after="80"/>
      </w:pPr>
      <w:r>
        <w:rPr>
          <w:rFonts w:ascii="Arial" w:cs="Arial" w:eastAsia="Arial" w:hAnsi="Arial"/>
          <w:sz w:val="22"/>
          <w:szCs w:val="22"/>
        </w:rPr>
        <w:t xml:space="preserve">No search or filtering capability anywhere on the site. The Resources section on the hub contains 20+ cards. The external field guide has 30+ links. Users must scan visually. At this volume, a filter or search input would pay for itself immediately.</w:t>
      </w:r>
    </w:p>
    <w:p>
      <w:pPr>
        <w:pStyle w:val="ListParagraph"/>
        <w:numPr>
          <w:ilvl w:val="0"/>
          <w:numId w:val="2"/>
        </w:numPr>
        <w:spacing w:after="80"/>
      </w:pPr>
      <w:r>
        <w:rPr>
          <w:rFonts w:ascii="Arial" w:cs="Arial" w:eastAsia="Arial" w:hAnsi="Arial"/>
          <w:sz w:val="22"/>
          <w:szCs w:val="22"/>
        </w:rPr>
        <w:t xml:space="preserve">Three different navigation patterns appear across pages: centered flexbox, space-between with title, and horizontal flex with different alignment. Choose one and standardize.</w:t>
      </w:r>
    </w:p>
    <w:p>
      <w:pPr>
        <w:pStyle w:val="ListParagraph"/>
        <w:numPr>
          <w:ilvl w:val="0"/>
          <w:numId w:val="2"/>
        </w:numPr>
        <w:spacing w:after="80"/>
      </w:pPr>
      <w:r>
        <w:rPr>
          <w:rFonts w:ascii="Arial" w:cs="Arial" w:eastAsia="Arial" w:hAnsi="Arial"/>
          <w:sz w:val="22"/>
          <w:szCs w:val="22"/>
        </w:rPr>
        <w:t xml:space="preserve">The Skills tab on Start Here lists 20+ skills in categories but provides no trigger examples. Users see 'Student Outreach' but no guidance like 'Type: write an email to students about X.' The taxonomy is visible but the activation model is invisible.</w:t>
      </w:r>
    </w:p>
    <w:p>
      <w:r>
        <w:br w:type="page"/>
      </w:r>
    </w:p>
    <w:p>
      <w:pPr>
        <w:pStyle w:val="Heading1"/>
      </w:pPr>
      <w:r>
        <w:t xml:space="preserve">4. Flow</w:t>
      </w:r>
    </w:p>
    <w:p>
      <w:pPr>
        <w:spacing w:after="120"/>
      </w:pPr>
      <w:r>
        <w:t xml:space="preserve">The user journey design shows real thought about learning sequencing and progressive disclosure. The prerequisite system, milestone tracking, and phased content release are more sophisticated than most enterprise LMS implementations. The weak points are in edge cases and error handling.</w:t>
      </w:r>
    </w:p>
    <w:p>
      <w:pPr>
        <w:pStyle w:val="Heading2"/>
      </w:pPr>
      <w:r>
        <w:t xml:space="preserve">What Works</w:t>
      </w:r>
    </w:p>
    <w:p>
      <w:pPr>
        <w:pStyle w:val="ListParagraph"/>
        <w:numPr>
          <w:ilvl w:val="0"/>
          <w:numId w:val="2"/>
        </w:numPr>
        <w:spacing w:after="80"/>
      </w:pPr>
      <w:r>
        <w:rPr>
          <w:rFonts w:ascii="Arial" w:cs="Arial" w:eastAsia="Arial" w:hAnsi="Arial"/>
          <w:sz w:val="22"/>
          <w:szCs w:val="22"/>
        </w:rPr>
        <w:t xml:space="preserve">Three-step prerequisite flow with localStorage-based state management creates genuine progression: assessment, orientation guides, Academy courses. Each unlocks the next.</w:t>
      </w:r>
    </w:p>
    <w:p>
      <w:pPr>
        <w:pStyle w:val="ListParagraph"/>
        <w:numPr>
          <w:ilvl w:val="0"/>
          <w:numId w:val="2"/>
        </w:numPr>
        <w:spacing w:after="80"/>
      </w:pPr>
      <w:r>
        <w:rPr>
          <w:rFonts w:ascii="Arial" w:cs="Arial" w:eastAsia="Arial" w:hAnsi="Arial"/>
          <w:sz w:val="22"/>
          <w:szCs w:val="22"/>
        </w:rPr>
        <w:t xml:space="preserve">Completion tracking submits milestones to a Google Sheets endpoint with participant name, creating an audit trail for pilot accountability.</w:t>
      </w:r>
    </w:p>
    <w:p>
      <w:pPr>
        <w:pStyle w:val="ListParagraph"/>
        <w:numPr>
          <w:ilvl w:val="0"/>
          <w:numId w:val="2"/>
        </w:numPr>
        <w:spacing w:after="80"/>
      </w:pPr>
      <w:r>
        <w:rPr>
          <w:rFonts w:ascii="Arial" w:cs="Arial" w:eastAsia="Arial" w:hAnsi="Arial"/>
          <w:sz w:val="22"/>
          <w:szCs w:val="22"/>
        </w:rPr>
        <w:t xml:space="preserve">The Weekly Check-In form flow is excellent: week selector first (prevents mismatch), name field early (enables duplicate detection), progress dots update in real time, submit disables until required fields complete.</w:t>
      </w:r>
    </w:p>
    <w:p>
      <w:pPr>
        <w:pStyle w:val="ListParagraph"/>
        <w:numPr>
          <w:ilvl w:val="0"/>
          <w:numId w:val="2"/>
        </w:numPr>
        <w:spacing w:after="80"/>
      </w:pPr>
      <w:r>
        <w:rPr>
          <w:rFonts w:ascii="Arial" w:cs="Arial" w:eastAsia="Arial" w:hAnsi="Arial"/>
          <w:sz w:val="22"/>
          <w:szCs w:val="22"/>
        </w:rPr>
        <w:t xml:space="preserve">Conference decks use scroll-snap with keyboard navigation (arrows, Page Up/Down, Space) and visual progress indicators. Professional presentation delivery.</w:t>
      </w:r>
    </w:p>
    <w:p>
      <w:pPr>
        <w:pStyle w:val="ListParagraph"/>
        <w:numPr>
          <w:ilvl w:val="0"/>
          <w:numId w:val="2"/>
        </w:numPr>
        <w:spacing w:after="80"/>
      </w:pPr>
      <w:r>
        <w:rPr>
          <w:rFonts w:ascii="Arial" w:cs="Arial" w:eastAsia="Arial" w:hAnsi="Arial"/>
          <w:sz w:val="22"/>
          <w:szCs w:val="22"/>
        </w:rPr>
        <w:t xml:space="preserve">The celebration state on prerequisite completion (trophy emoji, 'Ready to go!' message) provides positive reinforcement at a structurally important moment.</w:t>
      </w:r>
    </w:p>
    <w:p>
      <w:pPr>
        <w:pStyle w:val="Heading2"/>
      </w:pPr>
      <w:r>
        <w:t xml:space="preserve">What Needs Attention</w:t>
      </w:r>
    </w:p>
    <w:p>
      <w:pPr>
        <w:pStyle w:val="ListParagraph"/>
        <w:numPr>
          <w:ilvl w:val="0"/>
          <w:numId w:val="2"/>
        </w:numPr>
        <w:spacing w:after="80"/>
      </w:pPr>
      <w:r>
        <w:rPr>
          <w:rFonts w:ascii="Arial" w:cs="Arial" w:eastAsia="Arial" w:hAnsi="Arial"/>
          <w:sz w:val="22"/>
          <w:szCs w:val="22"/>
        </w:rPr>
        <w:t xml:space="preserve">The survey gate redirect is abrupt. Every content page checks localStorage for dccap_survey_completed and silently redirects to the hub if the flag is missing. Users see a blank page, then get sent elsewhere with zero explanation. Replace the hard redirect with a visible banner explaining what is needed and why.</w:t>
      </w:r>
    </w:p>
    <w:p>
      <w:pPr>
        <w:pStyle w:val="ListParagraph"/>
        <w:numPr>
          <w:ilvl w:val="0"/>
          <w:numId w:val="2"/>
        </w:numPr>
        <w:spacing w:after="80"/>
      </w:pPr>
      <w:r>
        <w:rPr>
          <w:rFonts w:ascii="Arial" w:cs="Arial" w:eastAsia="Arial" w:hAnsi="Arial"/>
          <w:sz w:val="22"/>
          <w:szCs w:val="22"/>
        </w:rPr>
        <w:t xml:space="preserve">Certificate attestation validation is trivial. The system accepts any input longer than 3 characters as proof of Anthropic Academy course completion. A user can type 'abc' and pass. Either validate against an API, require screenshot upload, or at minimum flag this as self-reported with a clear banner.</w:t>
      </w:r>
    </w:p>
    <w:p>
      <w:pPr>
        <w:pStyle w:val="ListParagraph"/>
        <w:numPr>
          <w:ilvl w:val="0"/>
          <w:numId w:val="2"/>
        </w:numPr>
        <w:spacing w:after="80"/>
      </w:pPr>
      <w:r>
        <w:rPr>
          <w:rFonts w:ascii="Arial" w:cs="Arial" w:eastAsia="Arial" w:hAnsi="Arial"/>
          <w:sz w:val="22"/>
          <w:szCs w:val="22"/>
        </w:rPr>
        <w:t xml:space="preserve">Milestone submissions include no timestamp or session ID. The audit trail records that a participant completed a page but cannot verify when, how long they spent, or whether they actually reviewed the content. For a governance pilot, this is a compliance gap.</w:t>
      </w:r>
    </w:p>
    <w:p>
      <w:pPr>
        <w:pStyle w:val="ListParagraph"/>
        <w:numPr>
          <w:ilvl w:val="0"/>
          <w:numId w:val="2"/>
        </w:numPr>
        <w:spacing w:after="80"/>
      </w:pPr>
      <w:r>
        <w:rPr>
          <w:rFonts w:ascii="Arial" w:cs="Arial" w:eastAsia="Arial" w:hAnsi="Arial"/>
          <w:sz w:val="22"/>
          <w:szCs w:val="22"/>
        </w:rPr>
        <w:t xml:space="preserve">Survey time estimate claims 'about 8 minutes' but realistic completion time is 12-14 minutes based on question complexity (7 Likert items, 11 multiple-choice, 2 open-text evaluations). Inaccurate estimates erode trust.</w:t>
      </w:r>
    </w:p>
    <w:p>
      <w:pPr>
        <w:pStyle w:val="ListParagraph"/>
        <w:numPr>
          <w:ilvl w:val="0"/>
          <w:numId w:val="2"/>
        </w:numPr>
        <w:spacing w:after="80"/>
      </w:pPr>
      <w:r>
        <w:rPr>
          <w:rFonts w:ascii="Arial" w:cs="Arial" w:eastAsia="Arial" w:hAnsi="Arial"/>
          <w:sz w:val="22"/>
          <w:szCs w:val="22"/>
        </w:rPr>
        <w:t xml:space="preserve">No draft save mechanism on the survey or weekly check-in. If a user navigates away or loses connection, all responses are lost. For a 14-minute survey, this is a real risk.</w:t>
      </w:r>
    </w:p>
    <w:p>
      <w:pPr>
        <w:pStyle w:val="ListParagraph"/>
        <w:numPr>
          <w:ilvl w:val="0"/>
          <w:numId w:val="2"/>
        </w:numPr>
        <w:spacing w:after="80"/>
      </w:pPr>
      <w:r>
        <w:rPr>
          <w:rFonts w:ascii="Arial" w:cs="Arial" w:eastAsia="Arial" w:hAnsi="Arial"/>
          <w:sz w:val="22"/>
          <w:szCs w:val="22"/>
        </w:rPr>
        <w:t xml:space="preserve">The Weekly Check-In redirect fires after 3 seconds on submission. On slow networks, users may click the return button before the redirect triggers, creating duplicate submissions.</w:t>
      </w:r>
    </w:p>
    <w:p>
      <w:r>
        <w:br w:type="page"/>
      </w:r>
    </w:p>
    <w:p>
      <w:pPr>
        <w:pStyle w:val="Heading1"/>
      </w:pPr>
      <w:r>
        <w:t xml:space="preserve">5. Activities</w:t>
      </w:r>
    </w:p>
    <w:p>
      <w:pPr>
        <w:spacing w:after="120"/>
      </w:pPr>
      <w:r>
        <w:t xml:space="preserve">The interactive elements are where this site distinguishes itself from a static policy document. The activity design shows genuine pedagogical craft: progressive complexity, concrete scenarios, decision-forcing exercises, and a trap activity that teaches discernment through deliberate error detection. The implementation, however, assumes happy-path conditions.</w:t>
      </w:r>
    </w:p>
    <w:p>
      <w:pPr>
        <w:pStyle w:val="Heading2"/>
      </w:pPr>
      <w:r>
        <w:t xml:space="preserve">What Works</w:t>
      </w:r>
    </w:p>
    <w:p>
      <w:pPr>
        <w:pStyle w:val="ListParagraph"/>
        <w:numPr>
          <w:ilvl w:val="0"/>
          <w:numId w:val="2"/>
        </w:numPr>
        <w:spacing w:after="80"/>
      </w:pPr>
      <w:r>
        <w:rPr>
          <w:rFonts w:ascii="Arial" w:cs="Arial" w:eastAsia="Arial" w:hAnsi="Arial"/>
          <w:sz w:val="22"/>
          <w:szCs w:val="22"/>
        </w:rPr>
        <w:t xml:space="preserve">The Delegation Matrix (2x2 interactive grid) lets users type task names into quadrants, building a visual map of their AI delegation decisions. Strong for small-group facilitation.</w:t>
      </w:r>
    </w:p>
    <w:p>
      <w:pPr>
        <w:pStyle w:val="ListParagraph"/>
        <w:numPr>
          <w:ilvl w:val="0"/>
          <w:numId w:val="2"/>
        </w:numPr>
        <w:spacing w:after="80"/>
      </w:pPr>
      <w:r>
        <w:rPr>
          <w:rFonts w:ascii="Arial" w:cs="Arial" w:eastAsia="Arial" w:hAnsi="Arial"/>
          <w:sz w:val="22"/>
          <w:szCs w:val="22"/>
        </w:rPr>
        <w:t xml:space="preserve">The Data Tier Practice uses drag-and-drop scenario classification with 10 progressive scenarios, moving from easy (published annual report = Tier 4) to nuanced judgment calls (scholarship amounts by partner = Tier 2). Effective learning arc.</w:t>
      </w:r>
    </w:p>
    <w:p>
      <w:pPr>
        <w:pStyle w:val="ListParagraph"/>
        <w:numPr>
          <w:ilvl w:val="0"/>
          <w:numId w:val="2"/>
        </w:numPr>
        <w:spacing w:after="80"/>
      </w:pPr>
      <w:r>
        <w:rPr>
          <w:rFonts w:ascii="Arial" w:cs="Arial" w:eastAsia="Arial" w:hAnsi="Arial"/>
          <w:sz w:val="22"/>
          <w:szCs w:val="22"/>
        </w:rPr>
        <w:t xml:space="preserve">The Output Audit Trap is the strongest activity on the site. A Claude-generated funder email looks polished but contains three hidden errors (vague claims, casual tone, missing context). Users must find the failures. This teaches Discernment through direct experience rather than description.</w:t>
      </w:r>
    </w:p>
    <w:p>
      <w:pPr>
        <w:pStyle w:val="ListParagraph"/>
        <w:numPr>
          <w:ilvl w:val="0"/>
          <w:numId w:val="2"/>
        </w:numPr>
        <w:spacing w:after="80"/>
      </w:pPr>
      <w:r>
        <w:rPr>
          <w:rFonts w:ascii="Arial" w:cs="Arial" w:eastAsia="Arial" w:hAnsi="Arial"/>
          <w:sz w:val="22"/>
          <w:szCs w:val="22"/>
        </w:rPr>
        <w:t xml:space="preserve">Skill Trigger Challenge presents 8 DC CAP skills with example trigger phrases, encouraging guess-and-check learning. Good for building activation fluency.</w:t>
      </w:r>
    </w:p>
    <w:p>
      <w:pPr>
        <w:pStyle w:val="ListParagraph"/>
        <w:numPr>
          <w:ilvl w:val="0"/>
          <w:numId w:val="2"/>
        </w:numPr>
        <w:spacing w:after="80"/>
      </w:pPr>
      <w:r>
        <w:rPr>
          <w:rFonts w:ascii="Arial" w:cs="Arial" w:eastAsia="Arial" w:hAnsi="Arial"/>
          <w:sz w:val="22"/>
          <w:szCs w:val="22"/>
        </w:rPr>
        <w:t xml:space="preserve">Before/After prompt comparison shows weak vs. strong prompts with a four-part template (Context, Task, Content, Constraints). Actionable and immediately transferable.</w:t>
      </w:r>
    </w:p>
    <w:p>
      <w:pPr>
        <w:pStyle w:val="ListParagraph"/>
        <w:numPr>
          <w:ilvl w:val="0"/>
          <w:numId w:val="2"/>
        </w:numPr>
        <w:spacing w:after="80"/>
      </w:pPr>
      <w:r>
        <w:rPr>
          <w:rFonts w:ascii="Arial" w:cs="Arial" w:eastAsia="Arial" w:hAnsi="Arial"/>
          <w:sz w:val="22"/>
          <w:szCs w:val="22"/>
        </w:rPr>
        <w:t xml:space="preserve">Scenario cards on governance use click-to-reveal answers, allowing self-directed attempt before checking. Solid pedagogical pattern.</w:t>
      </w:r>
    </w:p>
    <w:p>
      <w:pPr>
        <w:pStyle w:val="Heading2"/>
      </w:pPr>
      <w:r>
        <w:t xml:space="preserve">What Needs Attention</w:t>
      </w:r>
    </w:p>
    <w:p>
      <w:pPr>
        <w:pStyle w:val="ListParagraph"/>
        <w:numPr>
          <w:ilvl w:val="0"/>
          <w:numId w:val="2"/>
        </w:numPr>
        <w:spacing w:after="80"/>
      </w:pPr>
      <w:r>
        <w:rPr>
          <w:rFonts w:ascii="Arial" w:cs="Arial" w:eastAsia="Arial" w:hAnsi="Arial"/>
          <w:sz w:val="22"/>
          <w:szCs w:val="22"/>
        </w:rPr>
        <w:t xml:space="preserve">Interactive state does not persist. The delegation matrix, scenario card reveals, and data tier classifications all reset on page refresh. In a 25-minute facilitated activity, a browser crash or accidental refresh means the team loses all their work.</w:t>
      </w:r>
    </w:p>
    <w:p>
      <w:pPr>
        <w:pStyle w:val="ListParagraph"/>
        <w:numPr>
          <w:ilvl w:val="0"/>
          <w:numId w:val="2"/>
        </w:numPr>
        <w:spacing w:after="80"/>
      </w:pPr>
      <w:r>
        <w:rPr>
          <w:rFonts w:ascii="Arial" w:cs="Arial" w:eastAsia="Arial" w:hAnsi="Arial"/>
          <w:sz w:val="22"/>
          <w:szCs w:val="22"/>
        </w:rPr>
        <w:t xml:space="preserve">No export or sharing mechanism exists for any activity. Facilitators cannot collect and aggregate team outputs from the delegation matrix, scenario classifications, or audit findings. For organizational learning, the individual exercise has value but the collective analysis is where strategy happens.</w:t>
      </w:r>
    </w:p>
    <w:p>
      <w:pPr>
        <w:pStyle w:val="ListParagraph"/>
        <w:numPr>
          <w:ilvl w:val="0"/>
          <w:numId w:val="2"/>
        </w:numPr>
        <w:spacing w:after="80"/>
      </w:pPr>
      <w:r>
        <w:rPr>
          <w:rFonts w:ascii="Arial" w:cs="Arial" w:eastAsia="Arial" w:hAnsi="Arial"/>
          <w:sz w:val="22"/>
          <w:szCs w:val="22"/>
        </w:rPr>
        <w:t xml:space="preserve">The Data Tier Practice scoring feedback is unclear. A score (0/10) displays but the mechanism for wrong-answer feedback is opaque. Does the user get immediate correction? Explanation of why? Ability to retry? These matter for learning transfer.</w:t>
      </w:r>
    </w:p>
    <w:p>
      <w:pPr>
        <w:pStyle w:val="ListParagraph"/>
        <w:numPr>
          <w:ilvl w:val="0"/>
          <w:numId w:val="2"/>
        </w:numPr>
        <w:spacing w:after="80"/>
      </w:pPr>
      <w:r>
        <w:rPr>
          <w:rFonts w:ascii="Arial" w:cs="Arial" w:eastAsia="Arial" w:hAnsi="Arial"/>
          <w:sz w:val="22"/>
          <w:szCs w:val="22"/>
        </w:rPr>
        <w:t xml:space="preserve">The concentric circles governance diagram on Start Here has an infinite SVG pulse animation (repeatCount='indefinite') with no stop condition. This drains battery on mobile and provides diminishing engagement value after the first few seconds.</w:t>
      </w:r>
    </w:p>
    <w:p>
      <w:pPr>
        <w:pStyle w:val="ListParagraph"/>
        <w:numPr>
          <w:ilvl w:val="0"/>
          <w:numId w:val="2"/>
        </w:numPr>
        <w:spacing w:after="80"/>
      </w:pPr>
      <w:r>
        <w:rPr>
          <w:rFonts w:ascii="Arial" w:cs="Arial" w:eastAsia="Arial" w:hAnsi="Arial"/>
          <w:sz w:val="22"/>
          <w:szCs w:val="22"/>
        </w:rPr>
        <w:t xml:space="preserve">The capstone template provides self-assessment rating areas but no rubric or calibration guidance. A participant can self-rate 5/5 on Discernment without any shared definition of what that score means. Without calibration, the self-assessment data is unusable for program evaluation.</w:t>
      </w:r>
    </w:p>
    <w:p>
      <w:pPr>
        <w:pStyle w:val="ListParagraph"/>
        <w:numPr>
          <w:ilvl w:val="0"/>
          <w:numId w:val="2"/>
        </w:numPr>
        <w:spacing w:after="80"/>
      </w:pPr>
      <w:r>
        <w:rPr>
          <w:rFonts w:ascii="Arial" w:cs="Arial" w:eastAsia="Arial" w:hAnsi="Arial"/>
          <w:sz w:val="22"/>
          <w:szCs w:val="22"/>
        </w:rPr>
        <w:t xml:space="preserve">Data tier classification relies on color alone (red, gold, blue, green) with no text labels or icons differentiating tiers for colorblind users. This is an accessibility failure in a governance training context.</w:t>
      </w:r>
    </w:p>
    <w:p>
      <w:r>
        <w:br w:type="page"/>
      </w:r>
    </w:p>
    <w:p>
      <w:pPr>
        <w:pStyle w:val="Heading1"/>
      </w:pPr>
      <w:r>
        <w:t xml:space="preserve">Prioritized Findings</w:t>
      </w:r>
    </w:p>
    <w:p>
      <w:pPr>
        <w:spacing w:after="120"/>
      </w:pPr>
      <w:r>
        <w:t xml:space="preserve">The following table consolidates all findings by severity. Critical and High items should be addressed before expanding the pilot beyond the initial 10-leader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c>
          <w:tcPr>
            <w:tcW w:type="dxa" w:w="1400"/>
            <w:tcBorders>
              <w:top w:val="single" w:color="CCCCCC" w:sz="1"/>
              <w:left w:val="single" w:color="CCCCCC" w:sz="1"/>
              <w:bottom w:val="single" w:color="CCCCCC" w:sz="1"/>
              <w:right w:val="single" w:color="CCCCCC" w:sz="1"/>
            </w:tcBorders>
            <w:shd w:fill="101A4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480"/>
            <w:tcBorders>
              <w:top w:val="single" w:color="CCCCCC" w:sz="1"/>
              <w:left w:val="single" w:color="CCCCCC" w:sz="1"/>
              <w:bottom w:val="single" w:color="CCCCCC" w:sz="1"/>
              <w:right w:val="single" w:color="CCCCCC" w:sz="1"/>
            </w:tcBorders>
            <w:shd w:fill="101A4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480"/>
            <w:tcBorders>
              <w:top w:val="single" w:color="CCCCCC" w:sz="1"/>
              <w:left w:val="single" w:color="CCCCCC" w:sz="1"/>
              <w:bottom w:val="single" w:color="CCCCCC" w:sz="1"/>
              <w:right w:val="single" w:color="CCCCCC" w:sz="1"/>
            </w:tcBorders>
            <w:shd w:fill="101A4C"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Apps Script endpoint hardcoded in client-side JavaScript across all form pages. URL is fully visible in page source. Anyone can POST arbitrary data.</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Move to authenticated backend proxy. At minimum, add rate limiting and origin validation on the Apps Script side.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Survey results dashboard references Canvas element for radar chart but Chart.js library is not included in the HTML. Results page renders a blank canvas.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Chart.js script tag before closing body, or bundle the library inline.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Certificate attestation accepts any input longer than 3 characters as proof of Academy course completion.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 screenshot upload with human review, or accept as self-reported with clear banner stating so.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 start date inconsistent: KPI Framework shows April 7-11, Weekly Check-In shows April 6-12.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 to single calendar. Deploy simultaneously.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Survey gate redirects silently with no messaging. Users see a blank page then get sent to the hub.</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Replace hard redirect with visible prerequisite banner. Allow content preview with gated interactions.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 submissions lack timestamps and session IDs. Cannot verify when content was reviewed.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ISO timestamp, session hash, and time-on-page to all milestone payloads.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cross-page navigation. Users must return to hub for every page transition.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'Next' and 'Previous' links in a consistent page footer. Add breadcrumb trail.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activity state does not persist. Page refresh loses all user 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state to localStorage after each interaction. Add 'Download as PDF' export.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Akkordeon Ten font declared but never loaded. Silent fallback on every page.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 the font via @import or remove from the font stack.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tier classification uses color alone. No text/icon differentiation for colorblind users.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text labels or unicode tier markers alongside color coding.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draft save on survey or weekly check-in. Network loss means total data loss.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Auto-save form state to localStorage on field change. Restore on return.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Disabled checkboxes in prerequisite flow lack aria-labels. Screen readers skip them.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aria-label describing the prerequisite state to each disabled checkbox.</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Escalation contact names Preston but provides no contact method.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email, Slack handle, or scheduling link to all escalation references.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498DB"/>
                <w:sz w:val="20"/>
                <w:szCs w:val="20"/>
              </w:rPr>
              <w:t xml:space="preserve">LOW</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SVG noise filter on hero sections is computationally expensive for minimal visual value.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with pre-rendered PNG gradient or remove.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498DB"/>
                <w:sz w:val="20"/>
                <w:szCs w:val="20"/>
              </w:rPr>
              <w:t xml:space="preserve">LOW</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Print styles do not hide identity gate or session restore overlays.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display:none !important for overlay classes in @media print.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498DB"/>
                <w:sz w:val="20"/>
                <w:szCs w:val="20"/>
              </w:rPr>
              <w:t xml:space="preserve">LOW</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IntersectionObserver does not unobserve after reveal fires. Memory accumulates on long pages.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observer.unobserve(el) after visibility class is applied.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498DB"/>
                <w:sz w:val="20"/>
                <w:szCs w:val="20"/>
              </w:rPr>
              <w:t xml:space="preserve">LOW</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 links (Anthropic Academy, research sources) have identical styling to internal links.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external link icon or tooltip for links with target='_blank'.</w:t>
            </w:r>
          </w:p>
        </w:tc>
      </w:tr>
    </w:tbl>
    <w:p>
      <w:pPr>
        <w:spacing w:after="200"/>
      </w:pPr>
    </w:p>
    <w:p>
      <w:r>
        <w:br w:type="page"/>
      </w:r>
    </w:p>
    <w:p>
      <w:pPr>
        <w:pStyle w:val="Heading1"/>
      </w:pPr>
      <w:r>
        <w:t xml:space="preserve">Strategic Recommendations</w:t>
      </w:r>
    </w:p>
    <w:p>
      <w:pPr>
        <w:pStyle w:val="Heading2"/>
      </w:pPr>
      <w:r>
        <w:t xml:space="preserve">Fix This Week (Before Expanding the Cohort)</w:t>
      </w:r>
    </w:p>
    <w:p>
      <w:pPr>
        <w:pStyle w:val="ListParagraph"/>
        <w:numPr>
          <w:ilvl w:val="0"/>
          <w:numId w:val="3"/>
        </w:numPr>
        <w:spacing w:after="80"/>
      </w:pPr>
      <w:r>
        <w:rPr>
          <w:rFonts w:ascii="Arial" w:cs="Arial" w:eastAsia="Arial" w:hAnsi="Arial"/>
          <w:sz w:val="22"/>
          <w:szCs w:val="22"/>
        </w:rPr>
        <w:t xml:space="preserve">Secure the Google Sheets endpoint. At minimum, validate request origin and add rate limiting on the Apps Script side. Ideal state: proxy through an authenticated backend.</w:t>
      </w:r>
    </w:p>
    <w:p>
      <w:pPr>
        <w:pStyle w:val="ListParagraph"/>
        <w:numPr>
          <w:ilvl w:val="0"/>
          <w:numId w:val="3"/>
        </w:numPr>
        <w:spacing w:after="80"/>
      </w:pPr>
      <w:r>
        <w:rPr>
          <w:rFonts w:ascii="Arial" w:cs="Arial" w:eastAsia="Arial" w:hAnsi="Arial"/>
          <w:sz w:val="22"/>
          <w:szCs w:val="22"/>
        </w:rPr>
        <w:t xml:space="preserve">Add Chart.js to the survey results page so the radar chart renders.</w:t>
      </w:r>
    </w:p>
    <w:p>
      <w:pPr>
        <w:pStyle w:val="ListParagraph"/>
        <w:numPr>
          <w:ilvl w:val="0"/>
          <w:numId w:val="3"/>
        </w:numPr>
        <w:spacing w:after="80"/>
      </w:pPr>
      <w:r>
        <w:rPr>
          <w:rFonts w:ascii="Arial" w:cs="Arial" w:eastAsia="Arial" w:hAnsi="Arial"/>
          <w:sz w:val="22"/>
          <w:szCs w:val="22"/>
        </w:rPr>
        <w:t xml:space="preserve">Align the pilot calendar. Pick one Week 1 start date and deploy it across all pages simultaneously.</w:t>
      </w:r>
    </w:p>
    <w:p>
      <w:pPr>
        <w:pStyle w:val="ListParagraph"/>
        <w:numPr>
          <w:ilvl w:val="0"/>
          <w:numId w:val="3"/>
        </w:numPr>
        <w:spacing w:after="80"/>
      </w:pPr>
      <w:r>
        <w:rPr>
          <w:rFonts w:ascii="Arial" w:cs="Arial" w:eastAsia="Arial" w:hAnsi="Arial"/>
          <w:sz w:val="22"/>
          <w:szCs w:val="22"/>
        </w:rPr>
        <w:t xml:space="preserve">Replace the silent survey gate redirect with a visible banner that explains what the user needs to complete and links directly to it.</w:t>
      </w:r>
    </w:p>
    <w:p>
      <w:pPr>
        <w:pStyle w:val="ListParagraph"/>
        <w:numPr>
          <w:ilvl w:val="0"/>
          <w:numId w:val="3"/>
        </w:numPr>
        <w:spacing w:after="80"/>
      </w:pPr>
      <w:r>
        <w:rPr>
          <w:rFonts w:ascii="Arial" w:cs="Arial" w:eastAsia="Arial" w:hAnsi="Arial"/>
          <w:sz w:val="22"/>
          <w:szCs w:val="22"/>
        </w:rPr>
        <w:t xml:space="preserve">Add timestamps to all milestone submission payloads.</w:t>
      </w:r>
    </w:p>
    <w:p>
      <w:pPr>
        <w:pStyle w:val="Heading2"/>
      </w:pPr>
      <w:r>
        <w:t xml:space="preserve">Fix Within Two Weeks</w:t>
      </w:r>
    </w:p>
    <w:p>
      <w:pPr>
        <w:pStyle w:val="ListParagraph"/>
        <w:numPr>
          <w:ilvl w:val="0"/>
          <w:numId w:val="4"/>
        </w:numPr>
        <w:spacing w:after="80"/>
      </w:pPr>
      <w:r>
        <w:rPr>
          <w:rFonts w:ascii="Arial" w:cs="Arial" w:eastAsia="Arial" w:hAnsi="Arial"/>
          <w:sz w:val="22"/>
          <w:szCs w:val="22"/>
        </w:rPr>
        <w:t xml:space="preserve">Build cross-page navigation: Next/Previous footer links and a breadcrumb trail on every page.</w:t>
      </w:r>
    </w:p>
    <w:p>
      <w:pPr>
        <w:pStyle w:val="ListParagraph"/>
        <w:numPr>
          <w:ilvl w:val="0"/>
          <w:numId w:val="4"/>
        </w:numPr>
        <w:spacing w:after="80"/>
      </w:pPr>
      <w:r>
        <w:rPr>
          <w:rFonts w:ascii="Arial" w:cs="Arial" w:eastAsia="Arial" w:hAnsi="Arial"/>
          <w:sz w:val="22"/>
          <w:szCs w:val="22"/>
        </w:rPr>
        <w:t xml:space="preserve">Add localStorage persistence to interactive activities (delegation matrix, scenario cards) so user work survives page refresh.</w:t>
      </w:r>
    </w:p>
    <w:p>
      <w:pPr>
        <w:pStyle w:val="ListParagraph"/>
        <w:numPr>
          <w:ilvl w:val="0"/>
          <w:numId w:val="4"/>
        </w:numPr>
        <w:spacing w:after="80"/>
      </w:pPr>
      <w:r>
        <w:rPr>
          <w:rFonts w:ascii="Arial" w:cs="Arial" w:eastAsia="Arial" w:hAnsi="Arial"/>
          <w:sz w:val="22"/>
          <w:szCs w:val="22"/>
        </w:rPr>
        <w:t xml:space="preserve">Create a facilitator export mechanism: 'Download as PDF' or 'Copy to clipboard' for activity outputs.</w:t>
      </w:r>
    </w:p>
    <w:p>
      <w:pPr>
        <w:pStyle w:val="ListParagraph"/>
        <w:numPr>
          <w:ilvl w:val="0"/>
          <w:numId w:val="4"/>
        </w:numPr>
        <w:spacing w:after="80"/>
      </w:pPr>
      <w:r>
        <w:rPr>
          <w:rFonts w:ascii="Arial" w:cs="Arial" w:eastAsia="Arial" w:hAnsi="Arial"/>
          <w:sz w:val="22"/>
          <w:szCs w:val="22"/>
        </w:rPr>
        <w:t xml:space="preserve">Add a 'stuck on a governance question' field to the weekly check-in so facilitators can see implementation blockers in real time.</w:t>
      </w:r>
    </w:p>
    <w:p>
      <w:pPr>
        <w:pStyle w:val="ListParagraph"/>
        <w:numPr>
          <w:ilvl w:val="0"/>
          <w:numId w:val="4"/>
        </w:numPr>
        <w:spacing w:after="80"/>
      </w:pPr>
      <w:r>
        <w:rPr>
          <w:rFonts w:ascii="Arial" w:cs="Arial" w:eastAsia="Arial" w:hAnsi="Arial"/>
          <w:sz w:val="22"/>
          <w:szCs w:val="22"/>
        </w:rPr>
        <w:t xml:space="preserve">Fix accessibility gaps: colorblind-safe tier markers, aria-labels on disabled checkboxes, skip-to-main-content links.</w:t>
      </w:r>
    </w:p>
    <w:p>
      <w:pPr>
        <w:pStyle w:val="ListParagraph"/>
        <w:numPr>
          <w:ilvl w:val="0"/>
          <w:numId w:val="4"/>
        </w:numPr>
        <w:spacing w:after="80"/>
      </w:pPr>
      <w:r>
        <w:rPr>
          <w:rFonts w:ascii="Arial" w:cs="Arial" w:eastAsia="Arial" w:hAnsi="Arial"/>
          <w:sz w:val="22"/>
          <w:szCs w:val="22"/>
        </w:rPr>
        <w:t xml:space="preserve">Load or remove Akkordeon Ten from the font stack.</w:t>
      </w:r>
    </w:p>
    <w:p>
      <w:pPr>
        <w:pStyle w:val="Heading2"/>
      </w:pPr>
      <w:r>
        <w:t xml:space="preserve">Build Toward for Post-Pilot (Q1 FY2027 Rollout)</w:t>
      </w:r>
    </w:p>
    <w:p>
      <w:pPr>
        <w:pStyle w:val="ListParagraph"/>
        <w:numPr>
          <w:ilvl w:val="0"/>
          <w:numId w:val="5"/>
        </w:numPr>
        <w:spacing w:after="80"/>
      </w:pPr>
      <w:r>
        <w:rPr>
          <w:rFonts w:ascii="Arial" w:cs="Arial" w:eastAsia="Arial" w:hAnsi="Arial"/>
          <w:sz w:val="22"/>
          <w:szCs w:val="22"/>
        </w:rPr>
        <w:t xml:space="preserve">Extract shared CSS into a single stylesheet so design system changes propagate automatically across all pages.</w:t>
      </w:r>
    </w:p>
    <w:p>
      <w:pPr>
        <w:pStyle w:val="ListParagraph"/>
        <w:numPr>
          <w:ilvl w:val="0"/>
          <w:numId w:val="5"/>
        </w:numPr>
        <w:spacing w:after="80"/>
      </w:pPr>
      <w:r>
        <w:rPr>
          <w:rFonts w:ascii="Arial" w:cs="Arial" w:eastAsia="Arial" w:hAnsi="Arial"/>
          <w:sz w:val="22"/>
          <w:szCs w:val="22"/>
        </w:rPr>
        <w:t xml:space="preserve">Build a shared JavaScript module for form validation, localStorage state management, and Google Sheets submission. DRY the codebase.</w:t>
      </w:r>
    </w:p>
    <w:p>
      <w:pPr>
        <w:pStyle w:val="ListParagraph"/>
        <w:numPr>
          <w:ilvl w:val="0"/>
          <w:numId w:val="5"/>
        </w:numPr>
        <w:spacing w:after="80"/>
      </w:pPr>
      <w:r>
        <w:rPr>
          <w:rFonts w:ascii="Arial" w:cs="Arial" w:eastAsia="Arial" w:hAnsi="Arial"/>
          <w:sz w:val="22"/>
          <w:szCs w:val="22"/>
        </w:rPr>
        <w:t xml:space="preserve">Add analytics instrumentation: page visits, time on page, activity completion rates, form abandonment points. The pilot evaluation will be stronger with behavioral data alongside self-report.</w:t>
      </w:r>
    </w:p>
    <w:p>
      <w:pPr>
        <w:pStyle w:val="ListParagraph"/>
        <w:numPr>
          <w:ilvl w:val="0"/>
          <w:numId w:val="5"/>
        </w:numPr>
        <w:spacing w:after="80"/>
      </w:pPr>
      <w:r>
        <w:rPr>
          <w:rFonts w:ascii="Arial" w:cs="Arial" w:eastAsia="Arial" w:hAnsi="Arial"/>
          <w:sz w:val="22"/>
          <w:szCs w:val="22"/>
        </w:rPr>
        <w:t xml:space="preserve">Create an admin dashboard showing real-time KPI data: weekly active users, milestone completion rates, iteration frequency trends.</w:t>
      </w:r>
    </w:p>
    <w:p>
      <w:pPr>
        <w:pStyle w:val="ListParagraph"/>
        <w:numPr>
          <w:ilvl w:val="0"/>
          <w:numId w:val="5"/>
        </w:numPr>
        <w:spacing w:after="80"/>
      </w:pPr>
      <w:r>
        <w:rPr>
          <w:rFonts w:ascii="Arial" w:cs="Arial" w:eastAsia="Arial" w:hAnsi="Arial"/>
          <w:sz w:val="22"/>
          <w:szCs w:val="22"/>
        </w:rPr>
        <w:t xml:space="preserve">Add search functionality to the hub. At 18+ pages and 50+ resources, visual scanning stops scaling.</w:t>
      </w:r>
    </w:p>
    <w:p>
      <w:pPr>
        <w:pStyle w:val="ListParagraph"/>
        <w:numPr>
          <w:ilvl w:val="0"/>
          <w:numId w:val="5"/>
        </w:numPr>
        <w:spacing w:after="80"/>
      </w:pPr>
      <w:r>
        <w:rPr>
          <w:rFonts w:ascii="Arial" w:cs="Arial" w:eastAsia="Arial" w:hAnsi="Arial"/>
          <w:sz w:val="22"/>
          <w:szCs w:val="22"/>
        </w:rPr>
        <w:t xml:space="preserve">Build a capstone assessment rubric so self-ratings have calibration anchors. Without them, the capstone data is unusable for program evaluation.</w:t>
      </w:r>
    </w:p>
    <w:p>
      <w:r>
        <w:br w:type="page"/>
      </w:r>
    </w:p>
    <w:p>
      <w:pPr>
        <w:pStyle w:val="Heading1"/>
      </w:pPr>
      <w:r>
        <w:t xml:space="preserve">Closing Assessment</w:t>
      </w:r>
    </w:p>
    <w:p>
      <w:pPr>
        <w:spacing w:after="120"/>
      </w:pPr>
      <w:r>
        <w:t xml:space="preserve">We walked into this site expecting a governance policy PDF with some branding. What we found is a full-stack learning platform that covers the entire adoption lifecycle: onboarding, fluency training, interactive practice, governance policy, measurement, facilitation guidance, and capstone assessment. That ambition is rare in this sector, and the execution delivers on most of it.</w:t>
      </w:r>
    </w:p>
    <w:p>
      <w:pPr>
        <w:spacing w:after="120"/>
      </w:pPr>
      <w:r>
        <w:t xml:space="preserve">The content quality is the foundation here. The 4D framework gives leaders a shared language for talking about AI competency. The governance framework gives them guardrails that feel protective rather than restrictive. The activities give them hands-on practice that builds real capability. The measurement system gives the organization a way to know whether any of it worked.</w:t>
      </w:r>
    </w:p>
    <w:p>
      <w:pPr>
        <w:spacing w:after="120"/>
      </w:pPr>
      <w:r>
        <w:t xml:space="preserve">The gaps we identified are real, but they are the gaps of a platform that tried to do something ambitious and got 85% of the way there on the first pass. The security issues need immediate attention. The navigation and persistence issues need attention before scaling. The infrastructure issues (shared CSS, analytics, admin dashboard) are the natural next phase for a platform that has proven its value at pilot scale and is preparing for organizational rollout.</w:t>
      </w:r>
    </w:p>
    <w:p>
      <w:pPr>
        <w:spacing w:after="120"/>
      </w:pPr>
      <w:r>
        <w:t xml:space="preserve">If DC CAP asked us to deploy this to our own organizations today, we would say: fix the five items in the 'this week' list, and we would be comfortable putting our teams through it. That is a strong position for a pilot that was built in-house with a small team on a compressed timeline.</w:t>
      </w:r>
    </w:p>
    <w:p>
      <w:pPr>
        <w:pBdr>
          <w:top w:val="single" w:color="FCB017" w:sz="4" w:space="8"/>
        </w:pBdr>
        <w:spacing w:before="400"/>
      </w:pPr>
      <w:r>
        <w:rPr>
          <w:rFonts w:ascii="Arial" w:cs="Arial" w:eastAsia="Arial" w:hAnsi="Arial"/>
          <w:i/>
          <w:iCs/>
          <w:color w:val="888888"/>
          <w:sz w:val="20"/>
          <w:szCs w:val="20"/>
        </w:rPr>
        <w:t xml:space="preserve">Report prepared by: </w:t>
      </w:r>
      <w:r>
        <w:rPr>
          <w:rFonts w:ascii="Arial" w:cs="Arial" w:eastAsia="Arial" w:hAnsi="Arial"/>
          <w:i/>
          <w:iCs/>
          <w:color w:val="888888"/>
          <w:sz w:val="20"/>
          <w:szCs w:val="20"/>
        </w:rPr>
        <w:t xml:space="preserve">CTO Peer Review Cohort (simulated adversarial audit)</w:t>
      </w:r>
    </w:p>
    <w:p>
      <w:pPr>
        <w:spacing w:after="40"/>
      </w:pPr>
      <w:r>
        <w:rPr>
          <w:rFonts w:ascii="Arial" w:cs="Arial" w:eastAsia="Arial" w:hAnsi="Arial"/>
          <w:i/>
          <w:iCs/>
          <w:color w:val="888888"/>
          <w:sz w:val="20"/>
          <w:szCs w:val="20"/>
        </w:rPr>
        <w:t xml:space="preserve">Site reviewed: </w:t>
      </w:r>
      <w:r>
        <w:rPr>
          <w:rFonts w:ascii="Arial" w:cs="Arial" w:eastAsia="Arial" w:hAnsi="Arial"/>
          <w:i/>
          <w:iCs/>
          <w:color w:val="888888"/>
          <w:sz w:val="20"/>
          <w:szCs w:val="20"/>
        </w:rPr>
        <w:t xml:space="preserve">dccapinnovation.org (18 HTML pages, GitHub Pages deployment)</w:t>
      </w:r>
    </w:p>
    <w:p>
      <w:r>
        <w:rPr>
          <w:rFonts w:ascii="Arial" w:cs="Arial" w:eastAsia="Arial" w:hAnsi="Arial"/>
          <w:i/>
          <w:iCs/>
          <w:color w:val="888888"/>
          <w:sz w:val="20"/>
          <w:szCs w:val="20"/>
        </w:rPr>
        <w:t xml:space="preserve">Review date: </w:t>
      </w:r>
      <w:r>
        <w:rPr>
          <w:rFonts w:ascii="Arial" w:cs="Arial" w:eastAsia="Arial" w:hAnsi="Arial"/>
          <w:i/>
          <w:iCs/>
          <w:color w:val="888888"/>
          <w:sz w:val="20"/>
          <w:szCs w:val="20"/>
        </w:rPr>
        <w:t xml:space="preserve">April 8,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Confidential Peer Review</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CTO Peer Review: dccapinnovation.org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B3FA0" w:sz="6" w:space="4"/>
      </w:pBdr>
      <w:spacing w:after="200" w:before="360"/>
      <w:outlineLvl w:val="0"/>
    </w:pPr>
    <w:rPr>
      <w:rFonts w:ascii="Arial" w:cs="Arial" w:eastAsia="Arial" w:hAnsi="Arial"/>
      <w:b/>
      <w:bCs/>
      <w:color w:val="101A4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6B3FA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01A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2026-04-08T11:26:09.710Z</dcterms:created>
  <dcterms:modified xsi:type="dcterms:W3CDTF">2026-04-08T11:26:09.710Z</dcterms:modified>
</cp:coreProperties>
</file>

<file path=docProps/custom.xml><?xml version="1.0" encoding="utf-8"?>
<Properties xmlns="http://schemas.openxmlformats.org/officeDocument/2006/custom-properties" xmlns:vt="http://schemas.openxmlformats.org/officeDocument/2006/docPropsVTypes"/>
</file>