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Noto Serif SemiCondensed" w:cs="Noto Serif SemiCondensed" w:eastAsia="Noto Serif SemiCondensed" w:hAnsi="Noto Serif SemiCondensed"/>
          <w:b/>
          <w:bCs/>
          <w:color w:val="101A4C"/>
          <w:sz w:val="32"/>
          <w:szCs w:val="32"/>
        </w:rPr>
        <w:t xml:space="preserve">Re: Initial Career Intelligence Notes — Responses</w:t>
      </w:r>
    </w:p>
    <w:p>
      <w:pPr>
        <w:pBdr>
          <w:bottom w:val="single" w:color="87B7D5" w:sz="4" w:space="6"/>
        </w:pBdr>
        <w:spacing w:after="240"/>
      </w:pPr>
      <w:r>
        <w:rPr>
          <w:rFonts w:ascii="Noto Serif SemiCondensed" w:cs="Noto Serif SemiCondensed" w:eastAsia="Noto Serif SemiCondensed" w:hAnsi="Noto Serif SemiCondensed"/>
          <w:color w:val="595959"/>
          <w:sz w:val="16"/>
          <w:szCs w:val="16"/>
        </w:rPr>
        <w:t xml:space="preserve">Preston Magouirk  ·  Chief Strategy and Analytics Officer  ·  April 20, 2026</w:t>
      </w:r>
    </w:p>
    <w:p>
      <w:pPr>
        <w:spacing w:after="140" w:line="300" w:lineRule="auto"/>
      </w:pPr>
      <w:r>
        <w:rPr>
          <w:rFonts w:ascii="Noto Serif" w:cs="Noto Serif" w:eastAsia="Noto Serif" w:hAnsi="Noto Serif"/>
          <w:sz w:val="22"/>
          <w:szCs w:val="22"/>
        </w:rPr>
        <w:t xml:space="preserve">Brian,</w:t>
      </w:r>
    </w:p>
    <w:p>
      <w:pPr>
        <w:spacing w:after="140" w:line="300" w:lineRule="auto"/>
      </w:pPr>
      <w:r>
        <w:rPr>
          <w:rFonts w:ascii="Noto Serif" w:cs="Noto Serif" w:eastAsia="Noto Serif" w:hAnsi="Noto Serif"/>
          <w:sz w:val="22"/>
          <w:szCs w:val="22"/>
        </w:rPr>
        <w:t xml:space="preserve">Thanks for the careful read and the tuning notes. Responses below, numbered to your original items.</w:t>
      </w:r>
    </w:p>
    <w:p>
      <w:pPr>
        <w:pBdr>
          <w:bottom w:val="single" w:color="8352FF" w:sz="6" w:space="4"/>
        </w:pBdr>
        <w:spacing w:after="140" w:before="300"/>
      </w:pPr>
      <w:r>
        <w:rPr>
          <w:rFonts w:ascii="Noto Serif SemiCondensed" w:cs="Noto Serif SemiCondensed" w:eastAsia="Noto Serif SemiCondensed" w:hAnsi="Noto Serif SemiCondensed"/>
          <w:b/>
          <w:bCs/>
          <w:color w:val="101A4C"/>
          <w:spacing w:val="30"/>
          <w:sz w:val="24"/>
          <w:szCs w:val="24"/>
        </w:rPr>
        <w:t xml:space="preserve">WEIGHTING SCHEME</w:t>
      </w:r>
    </w:p>
    <w:p>
      <w:pPr>
        <w:pStyle w:val="ListParagraph"/>
        <w:numPr>
          <w:ilvl w:val="0"/>
          <w:numId w:val="2"/>
        </w:numPr>
        <w:spacing w:after="140" w:line="300" w:lineRule="auto"/>
      </w:pPr>
      <w:r>
        <w:rPr>
          <w:rFonts w:ascii="Noto Serif" w:cs="Noto Serif" w:eastAsia="Noto Serif" w:hAnsi="Noto Serif"/>
          <w:b/>
          <w:bCs/>
          <w:color w:val="101A4C"/>
          <w:sz w:val="22"/>
          <w:szCs w:val="22"/>
        </w:rPr>
        <w:t xml:space="preserve">Debt, earnings, debt-to-earnings. </w:t>
      </w:r>
      <w:r>
        <w:rPr>
          <w:rFonts w:ascii="Noto Serif" w:cs="Noto Serif" w:eastAsia="Noto Serif" w:hAnsi="Noto Serif"/>
          <w:sz w:val="22"/>
          <w:szCs w:val="22"/>
        </w:rPr>
        <w:t xml:space="preserve">Good catch. Had earnings and debt originally, added debt-to-earnings later — this is a compilation artifact. Debt-to-earnings is a clean ROI measure, but on the backend it loses value because students see the score, not the ratio. Plan: weight debt and earnings directly. If we want to overweight one, surface the choice at the front end as a student preference (low debt vs. higher earnings).</w:t>
      </w:r>
    </w:p>
    <w:p>
      <w:pPr>
        <w:pStyle w:val="ListParagraph"/>
        <w:numPr>
          <w:ilvl w:val="0"/>
          <w:numId w:val="2"/>
        </w:numPr>
        <w:spacing w:after="140" w:line="300" w:lineRule="auto"/>
      </w:pPr>
      <w:r>
        <w:rPr>
          <w:rFonts w:ascii="Noto Serif" w:cs="Noto Serif" w:eastAsia="Noto Serif" w:hAnsi="Noto Serif"/>
          <w:b/>
          <w:bCs/>
          <w:color w:val="101A4C"/>
          <w:sz w:val="22"/>
          <w:szCs w:val="22"/>
        </w:rPr>
        <w:t xml:space="preserve">Growth vs. </w:t>
      </w:r>
      <w:r>
        <w:rPr>
          <w:rFonts w:ascii="Noto Serif" w:cs="Noto Serif" w:eastAsia="Noto Serif" w:hAnsi="Noto Serif"/>
          <w:sz w:val="22"/>
          <w:szCs w:val="22"/>
        </w:rPr>
        <w:t xml:space="preserve">demand. Related. Propose consolidating under a single “demand” construct with three time-horizon components: five-year past growth (trend), current-year openings (present), and forward demand estimates (future). Fine rolling these up into one metric. Another compilation-stage artifact.</w:t>
      </w:r>
    </w:p>
    <w:p>
      <w:pPr>
        <w:pStyle w:val="ListParagraph"/>
        <w:numPr>
          <w:ilvl w:val="0"/>
          <w:numId w:val="2"/>
        </w:numPr>
        <w:spacing w:after="140" w:line="300" w:lineRule="auto"/>
      </w:pPr>
      <w:r>
        <w:rPr>
          <w:rFonts w:ascii="Noto Serif" w:cs="Noto Serif" w:eastAsia="Noto Serif" w:hAnsi="Noto Serif"/>
          <w:b/>
          <w:bCs/>
          <w:color w:val="101A4C"/>
          <w:sz w:val="22"/>
          <w:szCs w:val="22"/>
        </w:rPr>
        <w:t xml:space="preserve">Validating the 15% approximation and fallback behavior. </w:t>
      </w:r>
      <w:r>
        <w:rPr>
          <w:rFonts w:ascii="Noto Serif" w:cs="Noto Serif" w:eastAsia="Noto Serif" w:hAnsi="Noto Serif"/>
          <w:sz w:val="22"/>
          <w:szCs w:val="22"/>
        </w:rPr>
        <w:t xml:space="preserve">Have not done this. Tractable. Plan: look at the distribution of the difference between these metrics and the 15% growth approximation, and the distribution of the difference between the PSEO measure and the fallback metrics.</w:t>
      </w:r>
    </w:p>
    <w:p>
      <w:pPr>
        <w:pStyle w:val="ListParagraph"/>
        <w:numPr>
          <w:ilvl w:val="0"/>
          <w:numId w:val="2"/>
        </w:numPr>
        <w:spacing w:after="140" w:line="300" w:lineRule="auto"/>
      </w:pPr>
      <w:r>
        <w:rPr>
          <w:rFonts w:ascii="Noto Serif" w:cs="Noto Serif" w:eastAsia="Noto Serif" w:hAnsi="Noto Serif"/>
          <w:b/>
          <w:bCs/>
          <w:color w:val="101A4C"/>
          <w:sz w:val="22"/>
          <w:szCs w:val="22"/>
        </w:rPr>
        <w:t xml:space="preserve">Categorical uncertainty filter. </w:t>
      </w:r>
      <w:r>
        <w:rPr>
          <w:rFonts w:ascii="Noto Serif" w:cs="Noto Serif" w:eastAsia="Noto Serif" w:hAnsi="Noto Serif"/>
          <w:sz w:val="22"/>
          <w:szCs w:val="22"/>
        </w:rPr>
        <w:t xml:space="preserve">Empirically the right call. Caveat is user experience: I don’t want students reading data uncertainty as “we have no idea about this program.” Want to discuss the tactful execution with you — how to surface confidence without undermining credibility of the results.</w:t>
      </w:r>
    </w:p>
    <w:p>
      <w:pPr>
        <w:pStyle w:val="ListParagraph"/>
        <w:numPr>
          <w:ilvl w:val="0"/>
          <w:numId w:val="2"/>
        </w:numPr>
        <w:spacing w:after="140" w:line="300" w:lineRule="auto"/>
      </w:pPr>
      <w:r>
        <w:rPr>
          <w:rFonts w:ascii="Noto Serif" w:cs="Noto Serif" w:eastAsia="Noto Serif" w:hAnsi="Noto Serif"/>
          <w:b/>
          <w:bCs/>
          <w:color w:val="101A4C"/>
          <w:sz w:val="22"/>
          <w:szCs w:val="22"/>
        </w:rPr>
        <w:t xml:space="preserve">Quantitative uncertainty modeling. </w:t>
      </w:r>
      <w:r>
        <w:rPr>
          <w:rFonts w:ascii="Noto Serif" w:cs="Noto Serif" w:eastAsia="Noto Serif" w:hAnsi="Noto Serif"/>
          <w:sz w:val="22"/>
          <w:szCs w:val="22"/>
        </w:rPr>
        <w:t xml:space="preserve">Expectation bands or error ranges could work well. Zeros are tough; they leave users thinking there’s nothing to learn from what we’ve put together, which isn’t accurate. Modeling uncertainty quantitatively and letting it drive reranking is a better path than hard-zeroing.</w:t>
      </w:r>
    </w:p>
    <w:p>
      <w:pPr>
        <w:pStyle w:val="ListParagraph"/>
        <w:numPr>
          <w:ilvl w:val="0"/>
          <w:numId w:val="2"/>
        </w:numPr>
        <w:spacing w:after="140" w:line="300" w:lineRule="auto"/>
      </w:pPr>
      <w:r>
        <w:rPr>
          <w:rFonts w:ascii="Noto Serif" w:cs="Noto Serif" w:eastAsia="Noto Serif" w:hAnsi="Noto Serif"/>
          <w:b/>
          <w:bCs/>
          <w:color w:val="101A4C"/>
          <w:sz w:val="22"/>
          <w:szCs w:val="22"/>
        </w:rPr>
        <w:t xml:space="preserve">Preserving magnitude of differences. </w:t>
      </w:r>
      <w:r>
        <w:rPr>
          <w:rFonts w:ascii="Noto Serif" w:cs="Noto Serif" w:eastAsia="Noto Serif" w:hAnsi="Noto Serif"/>
          <w:sz w:val="22"/>
          <w:szCs w:val="22"/>
        </w:rPr>
        <w:t xml:space="preserve">Agree. Standard-deviation normalization isn’t the explanation we want to give counselors. Dividing by range preserves absolute differences and stays explainable. Let’s move to this approach.</w:t>
      </w:r>
    </w:p>
    <w:p>
      <w:pPr>
        <w:pBdr>
          <w:bottom w:val="single" w:color="8352FF" w:sz="6" w:space="4"/>
        </w:pBdr>
        <w:spacing w:after="140" w:before="300"/>
      </w:pPr>
      <w:r>
        <w:rPr>
          <w:rFonts w:ascii="Noto Serif SemiCondensed" w:cs="Noto Serif SemiCondensed" w:eastAsia="Noto Serif SemiCondensed" w:hAnsi="Noto Serif SemiCondensed"/>
          <w:b/>
          <w:bCs/>
          <w:color w:val="101A4C"/>
          <w:spacing w:val="30"/>
          <w:sz w:val="24"/>
          <w:szCs w:val="24"/>
        </w:rPr>
        <w:t xml:space="preserve">RIASEC</w:t>
      </w:r>
    </w:p>
    <w:p>
      <w:pPr>
        <w:pStyle w:val="ListParagraph"/>
        <w:numPr>
          <w:ilvl w:val="0"/>
          <w:numId w:val="3"/>
        </w:numPr>
        <w:spacing w:after="140" w:line="300" w:lineRule="auto"/>
      </w:pPr>
      <w:r>
        <w:rPr>
          <w:rFonts w:ascii="Noto Serif" w:cs="Noto Serif" w:eastAsia="Noto Serif" w:hAnsi="Noto Serif"/>
          <w:b/>
          <w:bCs/>
          <w:color w:val="101A4C"/>
          <w:sz w:val="22"/>
          <w:szCs w:val="22"/>
        </w:rPr>
        <w:t xml:space="preserve">Question ordering seed. </w:t>
      </w:r>
      <w:r>
        <w:rPr>
          <w:rFonts w:ascii="Noto Serif" w:cs="Noto Serif" w:eastAsia="Noto Serif" w:hAnsi="Noto Serif"/>
          <w:sz w:val="22"/>
          <w:szCs w:val="22"/>
        </w:rPr>
        <w:t xml:space="preserve">Not intended. A mistake. The seed should rotate every time. Will fix.</w:t>
      </w:r>
    </w:p>
    <w:p>
      <w:pPr>
        <w:pStyle w:val="ListParagraph"/>
        <w:numPr>
          <w:ilvl w:val="0"/>
          <w:numId w:val="3"/>
        </w:numPr>
        <w:spacing w:after="140" w:line="300" w:lineRule="auto"/>
      </w:pPr>
      <w:r>
        <w:rPr>
          <w:rFonts w:ascii="Noto Serif" w:cs="Noto Serif" w:eastAsia="Noto Serif" w:hAnsi="Noto Serif"/>
          <w:b/>
          <w:bCs/>
          <w:color w:val="101A4C"/>
          <w:sz w:val="22"/>
          <w:szCs w:val="22"/>
        </w:rPr>
        <w:t xml:space="preserve">URL-encoded state and shareable responses. </w:t>
      </w:r>
      <w:r>
        <w:rPr>
          <w:rFonts w:ascii="Noto Serif" w:cs="Noto Serif" w:eastAsia="Noto Serif" w:hAnsi="Noto Serif"/>
          <w:sz w:val="22"/>
          <w:szCs w:val="22"/>
        </w:rPr>
        <w:t xml:space="preserve">No strong opinion — deferring to you. If preserving question order empirically supports URL-encoded state, shareability with counselors and parents, and Claude-based spot-checking, that’s fine. Your call on the implementation tradeoff.</w:t>
      </w:r>
    </w:p>
    <w:p>
      <w:pPr>
        <w:pStyle w:val="ListParagraph"/>
        <w:numPr>
          <w:ilvl w:val="0"/>
          <w:numId w:val="3"/>
        </w:numPr>
        <w:spacing w:after="140" w:line="300" w:lineRule="auto"/>
      </w:pPr>
      <w:r>
        <w:rPr>
          <w:rFonts w:ascii="Noto Serif" w:cs="Noto Serif" w:eastAsia="Noto Serif" w:hAnsi="Noto Serif"/>
          <w:b/>
          <w:bCs/>
          <w:color w:val="101A4C"/>
          <w:sz w:val="22"/>
          <w:szCs w:val="22"/>
        </w:rPr>
        <w:t xml:space="preserve">Interest-to-major bridge. </w:t>
      </w:r>
      <w:r>
        <w:rPr>
          <w:rFonts w:ascii="Noto Serif" w:cs="Noto Serif" w:eastAsia="Noto Serif" w:hAnsi="Noto Serif"/>
          <w:sz w:val="22"/>
          <w:szCs w:val="22"/>
        </w:rPr>
        <w:t xml:space="preserve">This is the core intellectual work of the exercise outside of UI/UX. Current path: interests to skills to careers to majors. The back-end (careers to majors) requires solid assumptions, drawing on Mathematica’s approach, IPUMS data, etc. Defensible start, and there’s no perfect method. What I care about: a readily explainable, defensible method that doesn’t load complexity on students. Interest-to-major directly isn’t clear to me — seems to have to route through occupation or career. What am I missing?</w:t>
      </w:r>
    </w:p>
    <w:p>
      <w:pPr>
        <w:pStyle w:val="ListParagraph"/>
        <w:numPr>
          <w:ilvl w:val="0"/>
          <w:numId w:val="3"/>
        </w:numPr>
        <w:spacing w:after="140" w:line="300" w:lineRule="auto"/>
      </w:pPr>
      <w:r>
        <w:rPr>
          <w:rFonts w:ascii="Noto Serif" w:cs="Noto Serif" w:eastAsia="Noto Serif" w:hAnsi="Noto Serif"/>
          <w:b/>
          <w:bCs/>
          <w:color w:val="101A4C"/>
          <w:sz w:val="22"/>
          <w:szCs w:val="22"/>
        </w:rPr>
        <w:t xml:space="preserve">DC Career Coach link. </w:t>
      </w:r>
      <w:r>
        <w:rPr>
          <w:rFonts w:ascii="Noto Serif" w:cs="Noto Serif" w:eastAsia="Noto Serif" w:hAnsi="Noto Serif"/>
          <w:sz w:val="22"/>
          <w:szCs w:val="22"/>
        </w:rPr>
        <w:t xml:space="preserve">Referring to Career Coach DC? Happy to link it, but the product is poor and students don’t know it exists. That’s the core failure pattern of DC education pathways initiatives: no one owns, maintains, improves, or socializes them. Big opportunity for us to fill that gap.</w:t>
      </w:r>
    </w:p>
    <w:p>
      <w:pPr>
        <w:pBdr>
          <w:bottom w:val="single" w:color="8352FF" w:sz="6" w:space="4"/>
        </w:pBdr>
        <w:spacing w:after="140" w:before="300"/>
      </w:pPr>
      <w:r>
        <w:rPr>
          <w:rFonts w:ascii="Noto Serif SemiCondensed" w:cs="Noto Serif SemiCondensed" w:eastAsia="Noto Serif SemiCondensed" w:hAnsi="Noto Serif SemiCondensed"/>
          <w:b/>
          <w:bCs/>
          <w:color w:val="101A4C"/>
          <w:spacing w:val="30"/>
          <w:sz w:val="24"/>
          <w:szCs w:val="24"/>
        </w:rPr>
        <w:t xml:space="preserve">EMPIRICAL WEIGHTS</w:t>
      </w:r>
    </w:p>
    <w:p>
      <w:pPr>
        <w:pStyle w:val="ListParagraph"/>
        <w:numPr>
          <w:ilvl w:val="0"/>
          <w:numId w:val="4"/>
        </w:numPr>
        <w:spacing w:after="140" w:line="300" w:lineRule="auto"/>
      </w:pPr>
      <w:r>
        <w:rPr>
          <w:rFonts w:ascii="Noto Serif" w:cs="Noto Serif" w:eastAsia="Noto Serif" w:hAnsi="Noto Serif"/>
          <w:b/>
          <w:bCs/>
          <w:color w:val="101A4C"/>
          <w:sz w:val="22"/>
          <w:szCs w:val="22"/>
        </w:rPr>
        <w:t xml:space="preserve">Uncertainty propagation. </w:t>
      </w:r>
      <w:r>
        <w:rPr>
          <w:rFonts w:ascii="Noto Serif" w:cs="Noto Serif" w:eastAsia="Noto Serif" w:hAnsi="Noto Serif"/>
          <w:sz w:val="22"/>
          <w:szCs w:val="22"/>
        </w:rPr>
        <w:t xml:space="preserve">Agree.</w:t>
      </w:r>
    </w:p>
    <w:p>
      <w:pPr>
        <w:pStyle w:val="ListParagraph"/>
        <w:numPr>
          <w:ilvl w:val="0"/>
          <w:numId w:val="4"/>
        </w:numPr>
        <w:spacing w:after="140" w:line="300" w:lineRule="auto"/>
      </w:pPr>
      <w:r>
        <w:rPr>
          <w:rFonts w:ascii="Noto Serif" w:cs="Noto Serif" w:eastAsia="Noto Serif" w:hAnsi="Noto Serif"/>
          <w:b/>
          <w:bCs/>
          <w:color w:val="101A4C"/>
          <w:sz w:val="22"/>
          <w:szCs w:val="22"/>
        </w:rPr>
        <w:t xml:space="preserve">CIP-to-SOC linkage specificity. </w:t>
      </w:r>
      <w:r>
        <w:rPr>
          <w:rFonts w:ascii="Noto Serif" w:cs="Noto Serif" w:eastAsia="Noto Serif" w:hAnsi="Noto Serif"/>
          <w:sz w:val="22"/>
          <w:szCs w:val="22"/>
        </w:rPr>
        <w:t xml:space="preserve">Two minds. If optimizing for precision, yes, tighter CIP-SOC linkages are stronger signals. Counter-consideration: this tool should expose students to possibilities they haven’t considered. A wider range may be more useful than a tight, precise major-to-career link, especially since real-world fit is rarely as clean as the data suggests. Not convinced the diffuse linkage is a weakness here, but want your take.</w:t>
      </w:r>
    </w:p>
    <w:p>
      <w:pPr>
        <w:pStyle w:val="ListParagraph"/>
        <w:numPr>
          <w:ilvl w:val="0"/>
          <w:numId w:val="4"/>
        </w:numPr>
        <w:spacing w:after="140" w:line="300" w:lineRule="auto"/>
      </w:pPr>
      <w:r>
        <w:rPr>
          <w:rFonts w:ascii="Noto Serif" w:cs="Noto Serif" w:eastAsia="Noto Serif" w:hAnsi="Noto Serif"/>
          <w:b/>
          <w:bCs/>
          <w:color w:val="101A4C"/>
          <w:sz w:val="22"/>
          <w:szCs w:val="22"/>
        </w:rPr>
        <w:t xml:space="preserve">SOC-to-CIP inverse, degree versatility. </w:t>
      </w:r>
      <w:r>
        <w:rPr>
          <w:rFonts w:ascii="Noto Serif" w:cs="Noto Serif" w:eastAsia="Noto Serif" w:hAnsi="Noto Serif"/>
          <w:sz w:val="22"/>
          <w:szCs w:val="22"/>
        </w:rPr>
        <w:t xml:space="preserve">The inverse is where my thinking lands. A versatile degree — one with many CIP pathways leading to a given SOC — is probably something we want to signal positively, relative to a degree with fewer but crystal-clear career options. If forced to choose between the two specificity directions, I’d lean toward the inverse you’ve described.</w:t>
      </w:r>
    </w:p>
    <w:p>
      <w:pPr>
        <w:pStyle w:val="ListParagraph"/>
        <w:numPr>
          <w:ilvl w:val="0"/>
          <w:numId w:val="4"/>
        </w:numPr>
        <w:spacing w:after="140" w:line="300" w:lineRule="auto"/>
      </w:pPr>
      <w:r>
        <w:rPr>
          <w:rFonts w:ascii="Noto Serif" w:cs="Noto Serif" w:eastAsia="Noto Serif" w:hAnsi="Noto Serif"/>
          <w:b/>
          <w:bCs/>
          <w:color w:val="101A4C"/>
          <w:sz w:val="22"/>
          <w:szCs w:val="22"/>
        </w:rPr>
        <w:t xml:space="preserve">Allocated openings. </w:t>
      </w:r>
      <w:r>
        <w:rPr>
          <w:rFonts w:ascii="Noto Serif" w:cs="Noto Serif" w:eastAsia="Noto Serif" w:hAnsi="Noto Serif"/>
          <w:sz w:val="22"/>
          <w:szCs w:val="22"/>
        </w:rPr>
        <w:t xml:space="preserve">Agree, not that useful. Makes several assumptions I’m not confident in. Growth (current and estimated future) should be sufficient. Fine to cut allocated openings.</w:t>
      </w:r>
    </w:p>
    <w:p>
      <w:pPr>
        <w:pBdr>
          <w:bottom w:val="single" w:color="8352FF" w:sz="6" w:space="4"/>
        </w:pBdr>
        <w:spacing w:after="140" w:before="300"/>
      </w:pPr>
      <w:r>
        <w:rPr>
          <w:rFonts w:ascii="Noto Serif SemiCondensed" w:cs="Noto Serif SemiCondensed" w:eastAsia="Noto Serif SemiCondensed" w:hAnsi="Noto Serif SemiCondensed"/>
          <w:b/>
          <w:bCs/>
          <w:color w:val="101A4C"/>
          <w:spacing w:val="30"/>
          <w:sz w:val="24"/>
          <w:szCs w:val="24"/>
        </w:rPr>
        <w:t xml:space="preserve">CROSS-CUTTING</w:t>
      </w:r>
    </w:p>
    <w:p>
      <w:pPr>
        <w:pStyle w:val="ListParagraph"/>
        <w:numPr>
          <w:ilvl w:val="0"/>
          <w:numId w:val="5"/>
        </w:numPr>
        <w:spacing w:after="140" w:line="300" w:lineRule="auto"/>
      </w:pPr>
      <w:r>
        <w:rPr>
          <w:rFonts w:ascii="Noto Serif" w:cs="Noto Serif" w:eastAsia="Noto Serif" w:hAnsi="Noto Serif"/>
          <w:b/>
          <w:bCs/>
          <w:color w:val="101A4C"/>
          <w:sz w:val="22"/>
          <w:szCs w:val="22"/>
        </w:rPr>
        <w:t xml:space="preserve">URL persistence applied to student selections. </w:t>
      </w:r>
      <w:r>
        <w:rPr>
          <w:rFonts w:ascii="Noto Serif" w:cs="Noto Serif" w:eastAsia="Noto Serif" w:hAnsi="Noto Serif"/>
          <w:sz w:val="22"/>
          <w:szCs w:val="22"/>
        </w:rPr>
        <w:t xml:space="preserve">Super into it.</w:t>
      </w:r>
    </w:p>
    <w:p>
      <w:pPr>
        <w:pStyle w:val="ListParagraph"/>
        <w:numPr>
          <w:ilvl w:val="0"/>
          <w:numId w:val="5"/>
        </w:numPr>
        <w:spacing w:after="140" w:line="300" w:lineRule="auto"/>
      </w:pPr>
      <w:r>
        <w:rPr>
          <w:rFonts w:ascii="Noto Serif" w:cs="Noto Serif" w:eastAsia="Noto Serif" w:hAnsi="Noto Serif"/>
          <w:b/>
          <w:bCs/>
          <w:color w:val="101A4C"/>
          <w:sz w:val="22"/>
          <w:szCs w:val="22"/>
        </w:rPr>
        <w:t xml:space="preserve">Telemetry via URL-derived page views. </w:t>
      </w:r>
      <w:r>
        <w:rPr>
          <w:rFonts w:ascii="Noto Serif" w:cs="Noto Serif" w:eastAsia="Noto Serif" w:hAnsi="Noto Serif"/>
          <w:sz w:val="22"/>
          <w:szCs w:val="22"/>
        </w:rPr>
        <w:t xml:space="preserve">Also super into it.</w:t>
      </w:r>
    </w:p>
    <w:p>
      <w:pPr>
        <w:pStyle w:val="ListParagraph"/>
        <w:numPr>
          <w:ilvl w:val="0"/>
          <w:numId w:val="5"/>
        </w:numPr>
        <w:spacing w:after="140" w:line="300" w:lineRule="auto"/>
      </w:pPr>
      <w:r>
        <w:rPr>
          <w:rFonts w:ascii="Noto Serif" w:cs="Noto Serif" w:eastAsia="Noto Serif" w:hAnsi="Noto Serif"/>
          <w:b/>
          <w:bCs/>
          <w:color w:val="101A4C"/>
          <w:sz w:val="22"/>
          <w:szCs w:val="22"/>
        </w:rPr>
        <w:t xml:space="preserve">Playwright. </w:t>
      </w:r>
      <w:r>
        <w:rPr>
          <w:rFonts w:ascii="Noto Serif" w:cs="Noto Serif" w:eastAsia="Noto Serif" w:hAnsi="Noto Serif"/>
          <w:sz w:val="22"/>
          <w:szCs w:val="22"/>
        </w:rPr>
        <w:t xml:space="preserve">Have explored it and like it. Not convinced I’m capturing all its utility — I catch plenty of things it misses when it claims to be reading the screen. Would welcome any workflow tips you have; would incorporate them immediately.</w:t>
      </w:r>
    </w:p>
    <w:p>
      <w:pPr>
        <w:spacing w:after="60" w:before="260"/>
      </w:pPr>
      <w:r>
        <w:rPr>
          <w:rFonts w:ascii="Noto Serif" w:cs="Noto Serif" w:eastAsia="Noto Serif" w:hAnsi="Noto Serif"/>
          <w:sz w:val="22"/>
          <w:szCs w:val="22"/>
        </w:rPr>
        <w:t xml:space="preserve">Talk soon,</w:t>
      </w:r>
    </w:p>
    <w:p>
      <w:pPr>
        <w:spacing w:after="0"/>
      </w:pPr>
      <w:r>
        <w:rPr>
          <w:rFonts w:ascii="Noto Serif" w:cs="Noto Serif" w:eastAsia="Noto Serif" w:hAnsi="Noto Serif"/>
          <w:b/>
          <w:bCs/>
          <w:color w:val="101A4C"/>
          <w:sz w:val="22"/>
          <w:szCs w:val="22"/>
        </w:rPr>
        <w:t xml:space="preserve">Preston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01A4C" w:sz="4" w:space="4"/>
      </w:pBdr>
      <w:tabs>
        <w:tab w:val="right" w:pos="9360"/>
      </w:tabs>
      <w:spacing w:before="120"/>
    </w:pPr>
    <w:r>
      <w:rPr>
        <w:rFonts w:ascii="Noto Serif SemiCondensed" w:cs="Noto Serif SemiCondensed" w:eastAsia="Noto Serif SemiCondensed" w:hAnsi="Noto Serif SemiCondensed"/>
        <w:b/>
        <w:bCs/>
        <w:color w:val="101A4C"/>
        <w:spacing w:val="40"/>
        <w:sz w:val="16"/>
        <w:szCs w:val="16"/>
      </w:rPr>
      <w:t xml:space="preserve">EXCEL BEYOND BELIEF</w:t>
    </w:r>
    <w:r>
      <w:rPr>
        <w:rFonts w:ascii="Noto Serif" w:cs="Noto Serif" w:eastAsia="Noto Serif" w:hAnsi="Noto Serif"/>
        <w:sz w:val="16"/>
        <w:szCs w:val="16"/>
      </w:rPr>
      <w:t xml:space="preserve">	</w:t>
    </w:r>
    <w:r>
      <w:rPr>
        <w:rFonts w:ascii="Noto Serif SemiCondensed" w:cs="Noto Serif SemiCondensed" w:eastAsia="Noto Serif SemiCondensed" w:hAnsi="Noto Serif SemiCondensed"/>
        <w:color w:val="595959"/>
        <w:sz w:val="16"/>
        <w:szCs w:val="16"/>
      </w:rPr>
      <w:t xml:space="preserve">dccap.org  ·  1425 K Street NW, Suite 200, Washington DC 20005  ·  202.783.7933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1A4C" w:sz="6" w:space="6"/>
      </w:pBdr>
      <w:spacing w:after="120"/>
      <w:jc w:val="left"/>
    </w:pPr>
    <w:r>
      <w:drawing>
        <wp:inline distT="0" distB="0" distL="0" distR="0">
          <wp:extent cx="1428750" cy="781050"/>
          <wp:effectExtent t="0" r="0" b="0" l="0"/>
          <wp:docPr id="1" name="DCCAPLogo" descr="DC CAP Scholars logo" title="DC CAP Schola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Noto Serif SemiCondensed" w:cs="Noto Serif SemiCondensed" w:eastAsia="Noto Serif SemiCondensed" w:hAnsi="Noto Serif SemiCondensed"/>
        <w:b/>
        <w:bCs/>
        <w:color w:val="101A4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Noto Serif SemiCondensed" w:cs="Noto Serif SemiCondensed" w:eastAsia="Noto Serif SemiCondensed" w:hAnsi="Noto Serif SemiCondensed"/>
        <w:b/>
        <w:bCs/>
        <w:color w:val="101A4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Noto Serif SemiCondensed" w:cs="Noto Serif SemiCondensed" w:eastAsia="Noto Serif SemiCondensed" w:hAnsi="Noto Serif SemiCondensed"/>
        <w:b/>
        <w:bCs/>
        <w:color w:val="101A4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Noto Serif SemiCondensed" w:cs="Noto Serif SemiCondensed" w:eastAsia="Noto Serif SemiCondensed" w:hAnsi="Noto Serif SemiCondensed"/>
        <w:b/>
        <w:bCs/>
        <w:color w:val="101A4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" w:cs="Noto Serif" w:eastAsia="Noto Serif" w:hAnsi="Noto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465d141f77d4eaaea32a90ce423f27b9d67780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to Brian Kim — Career Intelligence Notes</dc:title>
  <dc:creator>Preston Magouirk</dc:creator>
  <dc:description>DC CAP branded response letter</dc:description>
  <cp:lastModifiedBy>Un-named</cp:lastModifiedBy>
  <cp:revision>1</cp:revision>
  <dcterms:created xsi:type="dcterms:W3CDTF">2026-04-20T13:44:27.090Z</dcterms:created>
  <dcterms:modified xsi:type="dcterms:W3CDTF">2026-04-20T13:44:27.091Z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