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WAHS and OpenClinAI</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Methods, shared tools and pilot ideas</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Discussion report · Piotr Mańkowski · September 2026</w:t>
            </w:r>
          </w:p>
          <w:p w14:paraId="00000007">
            <w:pPr>
              <w:spacing w:after="0" w:line="240" w:lineRule="auto"/>
              <w:rPr>
                <w:color w:val="666666"/>
              </w:rPr>
            </w:pPr>
            <w:r>
              <w:rPr>
                <w:color w:val="666666"/>
                <w:rtl w:val="0"/>
              </w:rPr>
              <w:t xml:space="preserve"/>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936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At a glance</w:t>
              <w:tab/>
              <w:t xml:space="preserve">2</w:t>
            </w:r>
          </w:hyperlink>
          <w:r>
            <w:rPr>
              <w:rtl w:val="0"/>
            </w:rPr>
          </w:r>
        </w:p>
        <w:p w14:paraId="0000000D">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Introduction</w:t>
              <w:tab/>
              <w:t xml:space="preserve">2</w:t>
            </w:r>
          </w:hyperlink>
          <w:r>
            <w:rPr>
              <w:rtl w:val="0"/>
            </w:rPr>
          </w:r>
        </w:p>
        <w:p w14:paraId="0000000E">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Context and conditions</w:t>
              <w:tab/>
              <w:t xml:space="preserve">3</w:t>
            </w:r>
          </w:hyperlink>
          <w:r>
            <w:rPr>
              <w:rtl w:val="0"/>
            </w:rPr>
          </w:r>
        </w:p>
        <w:p w14:paraId="00000010">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Patterns in the evidence</w:t>
              <w:tab/>
              <w:t xml:space="preserve">3</w:t>
            </w:r>
          </w:hyperlink>
          <w:r>
            <w:rPr>
              <w:rtl w:val="0"/>
            </w:rPr>
          </w:r>
        </w:p>
        <w:p w14:paraId="00000011">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Implications</w:t>
              <w:tab/>
              <w:t xml:space="preserve">3</w:t>
            </w:r>
          </w:hyperlink>
          <w:r>
            <w:rPr>
              <w:rtl w:val="0"/>
            </w:rPr>
          </w:r>
        </w:p>
        <w:p w14:paraId="00000012">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4</w:t>
            </w:r>
          </w:hyperlink>
          <w:r>
            <w:rPr>
              <w:rtl w:val="0"/>
            </w:rPr>
          </w:r>
        </w:p>
        <w:p w14:paraId="00000013">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Conclusion</w:t>
              <w:tab/>
              <w:t xml:space="preserve">4</w:t>
            </w:r>
          </w:hyperlink>
          <w:r>
            <w:rPr>
              <w:rtl w:val="0"/>
            </w:rPr>
          </w:r>
        </w:p>
        <w:p w14:paraId="00000014">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5</w:t>
            </w:r>
          </w:hyperlink>
          <w:r>
            <w:rPr>
              <w:rtl w:val="0"/>
            </w:rPr>
          </w:r>
        </w:p>
        <w:p w14:paraId="00000015">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Notes</w:t>
              <w:tab/>
              <w:t xml:space="preserve">5</w:t>
            </w:r>
          </w:hyperlink>
          <w:r>
            <w:rPr>
              <w:rtl w:val="0"/>
            </w:rPr>
          </w:r>
        </w:p>
        <w:p w14:paraId="00000016">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Sources</w:t>
              <w:tab/>
              <w:t xml:space="preserve">5</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OpenClinAI can support WAHS at several levels: methods, review design, shared testing and selected code. The earliest value may come from showing original sources, checking disagreements and recording human decisions. No code reuse is required to apply those lessons.</w:t>
      </w:r>
    </w:p>
    <w:p w14:paraId="00000019">
      <w:pPr>
        <w:rPr/>
      </w:pPr>
      <w:r>
        <w:rPr>
          <w:rtl w:val="0"/>
        </w:rPr>
        <w:t xml:space="preserve">Three short pilot abstracts offer starting points: help people review conflicting entries, answer questions with supporting records, or display incoming AI history. Each could begin with a shared review of examples. No delivery plan or implementation commitment is proposed.</w:t>
      </w:r>
    </w:p>
    <w:bookmarkStart w:colFirst="0" w:colLast="0" w:name="bookmark=id.1sqjewf8afxt" w:id="2"/>
    <w:bookmarkEnd w:id="2"/>
    <w:p w14:paraId="0000001A">
      <w:pPr>
        <w:pStyle w:val="Heading2"/>
        <w:rPr/>
      </w:pPr>
      <w:r>
        <w:rPr>
          <w:rtl w:val="0"/>
        </w:rPr>
        <w:t xml:space="preserve">At a glance</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Apply source-based review methods before choosing a software integration.</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Adapt Catalyst’s review-before-action approach to patient decisions.</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Explore a focused question with shared examples and optional testing tools.</w:t>
      </w:r>
    </w:p>
    <w:bookmarkStart w:colFirst="0" w:colLast="0" w:name="bookmark=id.4t4jj91ycfx" w:id="3"/>
    <w:bookmarkEnd w:id="3"/>
    <w:p w14:paraId="0000001E">
      <w:pPr>
        <w:pStyle w:val="Heading2"/>
        <w:rPr/>
      </w:pPr>
      <w:r>
        <w:rPr>
          <w:rtl w:val="0"/>
        </w:rPr>
        <w:t xml:space="preserve">Introduction</w:t>
      </w:r>
    </w:p>
    <w:p w14:paraId="0000001F">
      <w:pPr>
        <w:rPr/>
      </w:pPr>
      <w:r>
        <w:rPr>
          <w:rtl w:val="0"/>
        </w:rPr>
        <w:t xml:space="preserve">Updated WAHS notes cover conflicting records, sharing summaries, question-based search and AI attribution. They add record preparation, local models, shared computing and a later multilingual discussion. These are opportunities and open choices. [1]</w:t>
      </w:r>
    </w:p>
    <w:p w14:paraId="00000020">
      <w:pPr>
        <w:rPr/>
      </w:pPr>
      <w:r>
        <w:rPr>
          <w:rtl w:val="0"/>
        </w:rPr>
        <w:t xml:space="preserve">This report connects WAHS needs to reviewed OpenClinAI and QueryStore code and the research programme. The pilot abstracts are discussion ideas. WAHS implementation code and representative patient exports were not inspected.</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ChartSearchAI links answers to records. The FHIR guide adds history of AI involvement, its extent and human participation. WAHS could produce that history with a summary or display it on incoming data, distinguishing a whole entry from one field. [2, 3]</w:t>
      </w:r>
    </w:p>
    <w:p w14:paraId="00000023">
      <w:pPr>
        <w:pStyle w:val="Heading2"/>
        <w:rPr/>
      </w:pPr>
      <w:r>
        <w:rPr>
          <w:rtl w:val="0"/>
        </w:rPr>
        <w:t xml:space="preserve">Context and conditions</w:t>
      </w:r>
    </w:p>
    <w:p w14:paraId="00000024">
      <w:pPr>
        <w:rPr/>
      </w:pPr>
      <w:r>
        <w:rPr>
          <w:rtl w:val="0"/>
        </w:rPr>
        <w:t xml:space="preserve">Prepare readable entries with names, values, units, dates and sources intact. Inspect actual case size before adding search. A few complete examples provide a useful comparison for finding out whether selected information hides a disagreement.</w:t>
      </w:r>
    </w:p>
    <w:p w14:paraId="00000025">
      <w:pPr>
        <w:pStyle w:val="Heading2"/>
        <w:rPr/>
      </w:pPr>
      <w:r>
        <w:rPr>
          <w:rtl w:val="0"/>
        </w:rPr>
        <w:t xml:space="preserve">Patterns in the evidence</w:t>
      </w:r>
    </w:p>
    <w:p w14:paraId="00000026">
      <w:pPr>
        <w:rPr/>
      </w:pPr>
      <w:r>
        <w:rPr>
          <w:rtl w:val="0"/>
        </w:rPr>
        <w:t xml:space="preserve">QueryStore preserves clinical text, metadata and source identities in a searchable copy. It supports configurable embeddings and word search. The notes name E5; harness defaults name MiniLM. Confirm the active model. Direct WAHS file support remains new work.</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Key takeaway. Source references, AI history and human review are separate facts. Neither a search result nor an AI label establishes correctness or completeness.</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Implications</w:t>
      </w:r>
    </w:p>
    <w:p w14:paraId="0000002B">
      <w:pPr>
        <w:rPr/>
      </w:pPr>
      <w:r>
        <w:rPr>
          <w:rtl w:val="0"/>
        </w:rPr>
        <w:t xml:space="preserve">Methods and review design transfer immediately. Shared testing needs a small runner. Local hosting, model settings and any direct data connection need task-specific checks.</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Level</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Existing foundation</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Possible WAHS use</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Methods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Source-based review</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Review examples together</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Design</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Inspect before action</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Patient decision workflow</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Tools</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QueryStore, Hub and harness</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Read-only evaluation pilot</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Three possible pilots are outlined below. Each can begin with a few fictional examples or a partner demonstration. Choose an interesting question before agreeing effort, tools or implementation.</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Review conflicting entries. Show original medication records beside AI flags. Learn which flags help, what is missed and where human knowledge changes the interpretation. Apply source-based review and Catalyst’s inspect-before-action approach.</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Find records behind answers. Ask questions about a few examples and open supporting entries. Learn whether search finds the right information or hides something relevant. Apply ChartSearchAI and QueryStore experience, with optional shared evaluation tools.</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Display incoming AI history. Explore a partner example showing AI involvement, its extent and human review. Distinguish whole-entry and field labels. Learn whether readers understand the supplied connectathon facts without inspecting raw data.</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r>
    </w:p>
    <w:bookmarkStart w:colFirst="0" w:colLast="0" w:name="bookmark=id.rl3o3rp5qmnq" w:id="7"/>
    <w:bookmarkEnd w:id="7"/>
    <w:p w14:paraId="0000003D">
      <w:pPr>
        <w:pStyle w:val="Heading2"/>
        <w:rPr/>
      </w:pPr>
      <w:r>
        <w:rPr>
          <w:rtl w:val="0"/>
        </w:rPr>
        <w:t xml:space="preserve">Conclusion</w:t>
      </w:r>
    </w:p>
    <w:p w14:paraId="0000003E">
      <w:pPr>
        <w:rPr/>
      </w:pPr>
      <w:r>
        <w:rPr>
          <w:rtl w:val="0"/>
        </w:rPr>
        <w:t xml:space="preserve">These ideas could inform research on information selection, individual decisions, human control and small local models. Begin by identifying an example, a workflow reviewer and a question worth testing. Using shared code is optional.</w:t>
      </w:r>
    </w:p>
    <w:p w14:paraId="0000003F">
      <w:pPr>
        <w:rPr/>
      </w:pPr>
      <w:r>
        <w:rPr>
          <w:rtl w:val="0"/>
        </w:rPr>
        <w:t xml:space="preserve">The dissertation focuses on WHO SMART Guidelines for HIV care. WAHS offers another setting for its methods. A study needs its own questions and comparison design. Local computing and multilingual work can follow the chosen question. [4]</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Notes</w:t>
      </w:r>
    </w:p>
    <w:p w14:paraId="00000042">
      <w:pPr>
        <w:rPr/>
      </w:pPr>
      <w:r>
        <w:rPr>
          <w:rtl w:val="0"/>
        </w:rPr>
        <w:t xml:space="preserve">Reviewed sources include the meeting, transcript, updated notes, selected code revisions and research plans. Reported GPU provisioning and deployment accounts were not independently verified. Connectathon criteria came from the supplied excerpt.</w:t>
      </w:r>
    </w:p>
    <w:p w14:paraId="00000043">
      <w:pPr>
        <w:rPr/>
      </w:pPr>
      <w:r>
        <w:rPr>
          <w:rtl w:val="0"/>
        </w:rPr>
        <w:t xml:space="preserve">The browser report includes expandable search, model and computing sources. E5 is documented for English; multilingual use needs testing. Catalyst’s roadmap defines generic SQL; the public site also presents a newer FHIR and Spark demonstration. Its deployed revision was not matched here. [2, 5]</w:t>
      </w:r>
    </w:p>
    <w:bookmarkStart w:colFirst="0" w:colLast="0" w:name="bookmark=id.nnk1eebni0ji" w:id="10"/>
    <w:bookmarkEnd w:id="10"/>
    <w:p w14:paraId="00000044">
      <w:pPr>
        <w:pStyle w:val="Heading2"/>
        <w:rPr/>
      </w:pPr>
      <w:r>
        <w:rPr>
          <w:rtl w:val="0"/>
        </w:rPr>
        <w:t xml:space="preserve">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3">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[1] WAHS. EHI meeting notes, version 5, updated 1 September 2026; transcript and updated discussion notes supplied 9 September.</w:t>
        </w:r>
      </w:hyperlink>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4">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[2] OpenClinAI. Hub source at 939720e, QueryStore at 8dc6ef9; harness metadata and Catalyst roadmap at 4053352.</w:t>
        </w:r>
      </w:hyperlink>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5">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[3] HL7. AI Transparency on FHIR current branch, AI Provenance profile and FHIR R4 document rules. Accessed 9 September 2026.</w:t>
        </w:r>
      </w:hyperlink>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hyperlink r:id="rIdWahs66">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[4] Mańkowski. Dissertation scope, paper plan and draft preregistration; research sitrep, 6 September 2026. digging-in-research.</w:t>
        </w:r>
      </w:hyperlink>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r:id="rIdWahs68">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[5] Model, computing and design sources: E5 model card, NVIDIA H200 profiles, NN/g, Microsoft HAX, USWDS and W3C. Full evidence and links: wahs.openclinai.org.</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
        </w:r>
      </w:hyperlink>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WAHS and OpenClinAI</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September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Wahs63" Type="http://schemas.openxmlformats.org/officeDocument/2006/relationships/hyperlink" Target="https://uwdigi.atlassian.net/wiki/spaces/WAIPS/pages/1588658206/2026-08-24+EHI+Meeting+notes" TargetMode="External"/><Relationship Id="rIdWahs64" Type="http://schemas.openxmlformats.org/officeDocument/2006/relationships/hyperlink" Target="https://github.com/pmanko/med-agent-hub/blob/939720e4f52adec8f2fd573157a049afc1656654/server/context_sources.py#L150" TargetMode="External"/><Relationship Id="rIdWahs65" Type="http://schemas.openxmlformats.org/officeDocument/2006/relationships/hyperlink" Target="https://build.fhir.org/ig/HL7/aitransparency-ig/branches/main/en/requirements.html" TargetMode="External"/><Relationship Id="rIdWahs66" Type="http://schemas.openxmlformats.org/officeDocument/2006/relationships/hyperlink" Target="https://github.com/pmanko/digging-in-research/blob/main/research-site/content/07-dissertation-scope.md" TargetMode="External"/><Relationship Id="rIdWahs68" Type="http://schemas.openxmlformats.org/officeDocument/2006/relationships/hyperlink" Target="https://wahs.openclinai.org/#evidenc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