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 xml:space="preserve">WAHS and OpenClinAI</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 xml:space="preserve">Methods, shared tools and a first review pilot</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 xml:space="preserve">Discussion report · Piotr Mańkowski · September 2026</w:t>
            </w:r>
          </w:p>
          <w:p w14:paraId="00000007">
            <w:pPr>
              <w:spacing w:after="0" w:line="240" w:lineRule="auto"/>
              <w:rPr>
                <w:color w:val="666666"/>
              </w:rPr>
            </w:pPr>
            <w:r>
              <w:rPr>
                <w:color w:val="666666"/>
                <w:rtl w:val="0"/>
              </w:rPr>
              <w:t xml:space="preserve"/>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936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2</w:t>
            </w:r>
          </w:hyperlink>
          <w:r>
            <w:rPr>
              <w:rtl w:val="0"/>
            </w:rPr>
          </w:r>
        </w:p>
        <w:p w14:paraId="0000000C">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a glance</w:t>
              <w:tab/>
              <w:t xml:space="preserve">2</w:t>
            </w:r>
          </w:hyperlink>
          <w:r>
            <w:rPr>
              <w:rtl w:val="0"/>
            </w:rPr>
          </w:r>
        </w:p>
        <w:p w14:paraId="0000000D">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Introduction</w:t>
              <w:tab/>
              <w:t xml:space="preserve">2</w:t>
            </w:r>
          </w:hyperlink>
          <w:r>
            <w:rPr>
              <w:rtl w:val="0"/>
            </w:rPr>
          </w:r>
        </w:p>
        <w:p w14:paraId="0000000E">
          <w:pPr>
            <w:widowControl w:val="0"/>
            <w:tabs>
              <w:tab w:val="right" w:leader="dot" w:pos="936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3</w:t>
            </w:r>
          </w:hyperlink>
          <w:r>
            <w:rPr>
              <w:rtl w:val="0"/>
            </w:rPr>
          </w:r>
        </w:p>
        <w:p w14:paraId="0000000F">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Context and conditions</w:t>
              <w:tab/>
              <w:t xml:space="preserve">3</w:t>
            </w:r>
          </w:hyperlink>
          <w:r>
            <w:rPr>
              <w:rtl w:val="0"/>
            </w:rPr>
          </w:r>
        </w:p>
        <w:p w14:paraId="00000010">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Patterns in the evidence</w:t>
              <w:tab/>
              <w:t xml:space="preserve">3</w:t>
            </w:r>
          </w:hyperlink>
          <w:r>
            <w:rPr>
              <w:rtl w:val="0"/>
            </w:rPr>
          </w:r>
        </w:p>
        <w:p w14:paraId="00000011">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Implications</w:t>
              <w:tab/>
              <w:t xml:space="preserve">3</w:t>
            </w:r>
          </w:hyperlink>
          <w:r>
            <w:rPr>
              <w:rtl w:val="0"/>
            </w:rPr>
          </w:r>
        </w:p>
        <w:p w14:paraId="00000012">
          <w:pPr>
            <w:widowControl w:val="0"/>
            <w:tabs>
              <w:tab w:val="right" w:leader="dot" w:pos="936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4</w:t>
            </w:r>
          </w:hyperlink>
          <w:r>
            <w:rPr>
              <w:rtl w:val="0"/>
            </w:rPr>
          </w:r>
        </w:p>
        <w:p w14:paraId="00000013">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Conclusion</w:t>
              <w:tab/>
              <w:t xml:space="preserve">4</w:t>
            </w:r>
          </w:hyperlink>
          <w:r>
            <w:rPr>
              <w:rtl w:val="0"/>
            </w:rPr>
          </w:r>
        </w:p>
        <w:p w14:paraId="00000014">
          <w:pPr>
            <w:widowControl w:val="0"/>
            <w:tabs>
              <w:tab w:val="right" w:leader="dot" w:pos="936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w:t>
              <w:tab/>
              <w:t xml:space="preserve">5</w:t>
            </w:r>
          </w:hyperlink>
          <w:r>
            <w:rPr>
              <w:rtl w:val="0"/>
            </w:rPr>
          </w:r>
        </w:p>
        <w:p w14:paraId="00000015">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Notes</w:t>
              <w:tab/>
              <w:t xml:space="preserve">5</w:t>
            </w:r>
          </w:hyperlink>
          <w:r>
            <w:rPr>
              <w:rtl w:val="0"/>
            </w:rPr>
          </w:r>
        </w:p>
        <w:p w14:paraId="00000016">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Sources</w:t>
              <w:tab/>
              <w:t xml:space="preserve">5</w:t>
            </w:r>
          </w:hyperlink>
          <w:r>
            <w:rPr>
              <w:rtl w:val="0"/>
            </w:rPr>
          </w:r>
          <w:r>
            <w:fldChar w:fldCharType="end"/>
          </w:r>
        </w:p>
      </w:sdtContent>
    </w:sdt>
    <w:bookmarkStart w:colFirst="0" w:colLast="0" w:name="bookmark=id.i23wo83gyh7m" w:id="1"/>
    <w:bookmarkEnd w:id="1"/>
    <w:p w14:paraId="00000017">
      <w:pPr>
        <w:pStyle w:val="Heading1"/>
        <w:pageBreakBefore w:val="1"/>
        <w:rPr/>
      </w:pPr>
      <w:r>
        <w:rPr>
          <w:rtl w:val="0"/>
        </w:rPr>
        <w:t xml:space="preserve">Executive summary</w:t>
      </w:r>
    </w:p>
    <w:p w14:paraId="00000018">
      <w:pPr>
        <w:rPr/>
      </w:pPr>
      <w:r>
        <w:rPr>
          <w:rtl w:val="0"/>
        </w:rPr>
        <w:t xml:space="preserve">OpenClinAI can support WAHS at several levels: methods, review design, shared testing and selected code. The earliest value may come from showing original sources, checking disagreements and recording human decisions. No code reuse is required to apply those lessons.</w:t>
      </w:r>
    </w:p>
    <w:p w14:paraId="00000019">
      <w:pPr>
        <w:rPr/>
      </w:pPr>
      <w:r>
        <w:rPr>
          <w:rtl w:val="0"/>
        </w:rPr>
        <w:t xml:space="preserve">Start with a small read-only review pilot using fictional examples. A person inspects AI conflict flags and records a decision. Source-linked question answering or displaying incoming AI history are alternative small starts if WAHS needs them sooner.</w:t>
      </w:r>
    </w:p>
    <w:bookmarkStart w:colFirst="0" w:colLast="0" w:name="bookmark=id.1sqjewf8afxt" w:id="2"/>
    <w:bookmarkEnd w:id="2"/>
    <w:p w14:paraId="0000001A">
      <w:pPr>
        <w:pStyle w:val="Heading2"/>
        <w:rPr/>
      </w:pPr>
      <w:r>
        <w:rPr>
          <w:rtl w:val="0"/>
        </w:rPr>
        <w:t xml:space="preserve">At a glance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Apply source-based review methods before choosing a software integration.</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Adapt Catalyst’s review-before-action approach to patient decisions.</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 shared testing to inspect errors and compare models on the same cases.</w:t>
      </w:r>
    </w:p>
    <w:bookmarkStart w:colFirst="0" w:colLast="0" w:name="bookmark=id.4t4jj91ycfx" w:id="3"/>
    <w:bookmarkEnd w:id="3"/>
    <w:p w14:paraId="0000001E">
      <w:pPr>
        <w:pStyle w:val="Heading2"/>
        <w:rPr/>
      </w:pPr>
      <w:r>
        <w:rPr>
          <w:rtl w:val="0"/>
        </w:rPr>
        <w:t xml:space="preserve">Introduction</w:t>
      </w:r>
    </w:p>
    <w:p w14:paraId="0000001F">
      <w:pPr>
        <w:rPr/>
      </w:pPr>
      <w:r>
        <w:rPr>
          <w:rtl w:val="0"/>
        </w:rPr>
        <w:t xml:space="preserve">Updated WAHS notes cover conflicting records, sharing summaries, question-based search and AI attribution. They add record preparation, local models, shared computing and a later multilingual discussion. These are opportunities and open choices. [1]</w:t>
      </w:r>
    </w:p>
    <w:p w14:paraId="00000020">
      <w:pPr>
        <w:rPr/>
      </w:pPr>
      <w:r>
        <w:rPr>
          <w:rtl w:val="0"/>
        </w:rPr>
        <w:t xml:space="preserve">This report connects those needs to reviewed OpenClinAI and QueryStore code and the research programme. The pilot is proposed; it has not been run. WAHS implementation code and representative patient exports were not inspected.</w:t>
      </w:r>
    </w:p>
    <w:bookmarkStart w:colFirst="0" w:colLast="0" w:name="bookmark=id.xx7bxdemqiq" w:id="4"/>
    <w:bookmarkEnd w:id="4"/>
    <w:p w14:paraId="00000021">
      <w:pPr>
        <w:pStyle w:val="Heading1"/>
        <w:pageBreakBefore w:val="1"/>
        <w:rPr/>
      </w:pPr>
      <w:r>
        <w:rPr>
          <w:rtl w:val="0"/>
        </w:rPr>
        <w:t xml:space="preserve">Key findings</w:t>
      </w:r>
    </w:p>
    <w:p w14:paraId="00000022">
      <w:pPr>
        <w:rPr/>
      </w:pPr>
      <w:r>
        <w:rPr>
          <w:rtl w:val="0"/>
        </w:rPr>
        <w:t xml:space="preserve">ChartSearchAI links answers to records. The FHIR guide adds history of AI involvement, its extent and human participation. WAHS could produce that history with a summary or display it on incoming data, distinguishing a whole entry from one field. [2, 3]</w:t>
      </w:r>
    </w:p>
    <w:p w14:paraId="00000023">
      <w:pPr>
        <w:pStyle w:val="Heading2"/>
        <w:rPr/>
      </w:pPr>
      <w:r>
        <w:rPr>
          <w:rtl w:val="0"/>
        </w:rPr>
        <w:t xml:space="preserve">Context and conditions</w:t>
      </w:r>
    </w:p>
    <w:p w14:paraId="00000024">
      <w:pPr>
        <w:rPr/>
      </w:pPr>
      <w:r>
        <w:rPr>
          <w:rtl w:val="0"/>
        </w:rPr>
        <w:t xml:space="preserve">Prepare readable entries with names, values, units, dates and sources intact. Inspect actual case size before adding search. A few complete examples provide a useful comparison for finding out whether selected information hides a disagreement.</w:t>
      </w:r>
    </w:p>
    <w:p w14:paraId="00000025">
      <w:pPr>
        <w:pStyle w:val="Heading2"/>
        <w:rPr/>
      </w:pPr>
      <w:r>
        <w:rPr>
          <w:rtl w:val="0"/>
        </w:rPr>
        <w:t xml:space="preserve">Patterns in the evidence</w:t>
      </w:r>
    </w:p>
    <w:p w14:paraId="00000026">
      <w:pPr>
        <w:rPr/>
      </w:pPr>
      <w:r>
        <w:rPr>
          <w:rtl w:val="0"/>
        </w:rPr>
        <w:t xml:space="preserve">QueryStore preserves clinical text, metadata and source identities in a searchable copy. It supports configurable embeddings and word search. The notes name E5; harness defaults name MiniLM. Confirm the active model. Direct WAHS file support remains new work.</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Key takeaway. Source references, AI history and human review are separate facts. Neither a search result nor an AI label establishes correctness or completeness.</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
      </w:r>
      <w:r>
        <w:rPr>
          <w:rtl w:val="0"/>
        </w:rPr>
      </w:r>
    </w:p>
    <w:p w14:paraId="00000029">
      <w:pPr>
        <w:pStyle w:val="Heading2"/>
        <w:rPr/>
      </w:pPr>
      <w:r>
        <w:rPr>
          <w:rtl w:val="0"/>
        </w:rPr>
      </w:r>
    </w:p>
    <w:bookmarkStart w:colFirst="0" w:colLast="0" w:name="bookmark=id.suv0vlq0gz4r" w:id="5"/>
    <w:bookmarkEnd w:id="5"/>
    <w:p w14:paraId="0000002A">
      <w:pPr>
        <w:pStyle w:val="Heading2"/>
        <w:rPr/>
      </w:pPr>
      <w:r>
        <w:rPr>
          <w:rtl w:val="0"/>
        </w:rPr>
        <w:t xml:space="preserve">Implications</w:t>
      </w:r>
    </w:p>
    <w:p w14:paraId="0000002B">
      <w:pPr>
        <w:rPr/>
      </w:pPr>
      <w:r>
        <w:rPr>
          <w:rtl w:val="0"/>
        </w:rPr>
        <w:t xml:space="preserve">Methods and review design transfer immediately. Shared testing needs a small runner. Local hosting, model settings and any direct data connection need task-specific checks.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Level</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Existing foundation</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Possible WAHS use</w:t>
            </w:r>
            <w:r>
              <w:rPr>
                <w:rtl w:val="0"/>
              </w:rPr>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Methods</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Source-based review</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Review examples together</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Design</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Inspect before action</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Patient decision workflow</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Tools</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QueryStore, Hub and harness</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Read-only evaluation pilot</w:t>
            </w:r>
          </w:p>
        </w:tc>
      </w:tr>
    </w:tbl>
    <w:bookmarkStart w:colFirst="0" w:colLast="0" w:name="bookmark=id.vvr4bduzzdc0" w:id="6"/>
    <w:bookmarkEnd w:id="6"/>
    <w:p w14:paraId="00000038">
      <w:pPr>
        <w:pStyle w:val="Heading1"/>
        <w:pageBreakBefore w:val="1"/>
        <w:rPr/>
      </w:pPr>
      <w:r>
        <w:rPr>
          <w:rtl w:val="0"/>
        </w:rPr>
        <w:t xml:space="preserve">Recommendations</w:t>
      </w:r>
    </w:p>
    <w:p w14:paraId="00000039">
      <w:pPr>
        <w:rPr/>
      </w:pPr>
      <w:r>
        <w:rPr>
          <w:rtl w:val="0"/>
        </w:rPr>
        <w:t xml:space="preserve">Proposed first pilot: fictional medication histories, conflict flags and human review. Preserve originals and save reviewer decisions separately. Confirm priority against the search and connectathon display opportunities.</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Agree a few cases. Include a duplicate, a real change over time, a disagreement, a missing date and a patient correction. Record what should be flagged and what must remain unresolved.</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Run and inspect. A small harness runner reads cases, calls one model through Hub and records inputs, outputs and errors. Use QueryStore directly only for an OpenMRS test source.</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Review together. Inspect missed disagreements, mistaken flags and useful corrections. Then choose better cases, instructions, a data connection or another model. A small pilot does not establish clinical safety.</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r>
    </w:p>
    <w:bookmarkStart w:colFirst="0" w:colLast="0" w:name="bookmark=id.rl3o3rp5qmnq" w:id="7"/>
    <w:bookmarkEnd w:id="7"/>
    <w:p w14:paraId="0000003D">
      <w:pPr>
        <w:pStyle w:val="Heading2"/>
        <w:rPr/>
      </w:pPr>
      <w:r>
        <w:rPr>
          <w:rtl w:val="0"/>
        </w:rPr>
        <w:t xml:space="preserve">Conclusion</w:t>
      </w:r>
    </w:p>
    <w:p w14:paraId="0000003E">
      <w:pPr>
        <w:rPr/>
      </w:pPr>
      <w:r>
        <w:rPr>
          <w:rtl w:val="0"/>
        </w:rPr>
        <w:t xml:space="preserve">Research could compare full versus selected records, fixed steps versus model-requested tools, human control and small local models. Hub supports selected settings and bounded tool use. GPU availability, disconnected use and multilingual performance remain unverified.</w:t>
      </w:r>
    </w:p>
    <w:p w14:paraId="0000003F">
      <w:pPr>
        <w:rPr/>
      </w:pPr>
      <w:r>
        <w:rPr>
          <w:rtl w:val="0"/>
        </w:rPr>
        <w:t xml:space="preserve">The dissertation focuses on WHO SMART Guidelines for HIV care. WAHS offers another setting for its methods. A study needs its own questions and comparison design. CNICS was discussed as future data; this pilot uses fictional cases. [4]</w:t>
      </w:r>
    </w:p>
    <w:bookmarkStart w:colFirst="0" w:colLast="0" w:name="bookmark=id.cf45595vup8a" w:id="8"/>
    <w:bookmarkEnd w:id="8"/>
    <w:p w14:paraId="00000040">
      <w:pPr>
        <w:pStyle w:val="Heading1"/>
        <w:pageBreakBefore w:val="1"/>
        <w:rPr/>
      </w:pPr>
      <w:r>
        <w:rPr>
          <w:rtl w:val="0"/>
        </w:rPr>
        <w:t xml:space="preserve">Appendix</w:t>
      </w:r>
    </w:p>
    <w:bookmarkStart w:colFirst="0" w:colLast="0" w:name="bookmark=id.ptrg31dozyqs" w:id="9"/>
    <w:bookmarkEnd w:id="9"/>
    <w:p w14:paraId="00000041">
      <w:pPr>
        <w:pStyle w:val="Heading2"/>
        <w:rPr/>
      </w:pPr>
      <w:r>
        <w:rPr>
          <w:rtl w:val="0"/>
        </w:rPr>
        <w:t xml:space="preserve">Notes</w:t>
      </w:r>
    </w:p>
    <w:p w14:paraId="00000042">
      <w:pPr>
        <w:rPr/>
      </w:pPr>
      <w:r>
        <w:rPr>
          <w:rtl w:val="0"/>
        </w:rPr>
        <w:t xml:space="preserve">Reviewed sources include the meeting, transcript, updated notes, selected code revisions and research plans. Reported GPU provisioning and deployment accounts were not independently verified. Connectathon criteria came from the supplied excerpt.</w:t>
      </w:r>
    </w:p>
    <w:p w14:paraId="00000043">
      <w:pPr>
        <w:rPr/>
      </w:pPr>
      <w:r>
        <w:rPr>
          <w:rtl w:val="0"/>
        </w:rPr>
        <w:t xml:space="preserve">The browser report adds search, model and computing details with expandable sources. E5 is documented for English; multilingual use needs separate testing. Catalyst’s cited roadmap defines generic SQL, with Spark as a reference setup still to implement. [2, 5]</w:t>
      </w:r>
    </w:p>
    <w:bookmarkStart w:colFirst="0" w:colLast="0" w:name="bookmark=id.nnk1eebni0ji" w:id="10"/>
    <w:bookmarkEnd w:id="10"/>
    <w:p w14:paraId="00000044">
      <w:pPr>
        <w:pStyle w:val="Heading2"/>
        <w:rPr/>
      </w:pPr>
      <w:r>
        <w:rPr>
          <w:rtl w:val="0"/>
        </w:rPr>
        <w:t xml:space="preserve">Sources</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hyperlink r:id="rIdWahs63">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 WAHS. EHI meeting notes, version 5, updated 1 September 2026; transcript and updated discussion notes supplied 9 September.</w:t>
        </w:r>
      </w:hyperlink>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hyperlink r:id="rIdWahs64">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[2] OpenClinAI. Hub source at 939720e, QueryStore at 8dc6ef9; harness metadata and Catalyst roadmap at 4053352.</w:t>
        </w:r>
      </w:hyperlink>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hyperlink r:id="rIdWahs65">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[3] HL7. AI Transparency on FHIR current branch, AI Provenance profile and FHIR R4 document rules. Accessed 9 September 2026.</w:t>
        </w:r>
      </w:hyperlink>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hyperlink r:id="rIdWahs66">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 Mańkowski. Dissertation scope, paper plan and draft preregistration; research sitrep, 6 September 2026. digging-in-research.</w:t>
        </w:r>
      </w:hyperlink>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hyperlink r:id="rIdWahs68">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[5] Model, computing and design sources: E5 model card, NVIDIA H200 profiles, NN/g, Microsoft HAX, USWDS and W3C. Full evidence and links: wahs.openclinai.org.</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
        </w:r>
      </w:hyperlink>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WAHS and OpenClinAI</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September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Wahs63" Type="http://schemas.openxmlformats.org/officeDocument/2006/relationships/hyperlink" Target="https://uwdigi.atlassian.net/wiki/spaces/WAIPS/pages/1588658206/2026-08-24+EHI+Meeting+notes" TargetMode="External"/><Relationship Id="rIdWahs64" Type="http://schemas.openxmlformats.org/officeDocument/2006/relationships/hyperlink" Target="https://github.com/pmanko/med-agent-hub/blob/939720e4f52adec8f2fd573157a049afc1656654/server/context_sources.py#L150" TargetMode="External"/><Relationship Id="rIdWahs65" Type="http://schemas.openxmlformats.org/officeDocument/2006/relationships/hyperlink" Target="https://build.fhir.org/ig/HL7/aitransparency-ig/branches/main/en/requirements.html" TargetMode="External"/><Relationship Id="rIdWahs66" Type="http://schemas.openxmlformats.org/officeDocument/2006/relationships/hyperlink" Target="https://github.com/pmanko/digging-in-research/blob/main/research-site/content/07-dissertation-scope.md" TargetMode="External"/><Relationship Id="rIdWahs68" Type="http://schemas.openxmlformats.org/officeDocument/2006/relationships/hyperlink" Target="https://wahs.openclinai.org/#evide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