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bookmarkStart w:colFirst="0" w:colLast="0" w:name="_heading=h.t76axsj6ui55" w:id="0"/>
      <w:bookmarkEnd w:id="0"/>
      <w:r>
        <w:rPr>
          <w:vertAlign w:val="baseline"/>
          <w:rtl w:val="0"/>
        </w:rPr>
        <w:t xml:space="preserve">WAHS and OpenClinAI</w:t>
      </w:r>
      <w:r>
        <w:rPr>
          <w:rtl w:val="0"/>
        </w:rPr>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14:paraId="00000004">
            <w:pPr>
              <w:spacing w:after="0" w:line="240" w:lineRule="auto"/>
              <w:rPr>
                <w:color w:val="666666"/>
              </w:rPr>
            </w:pPr>
            <w:r>
              <w:rPr>
                <w:color w:val="666666"/>
                <w:rtl w:val="0"/>
              </w:rPr>
              <w:t xml:space="preserve">Methods, shared tools and a first review pilot</w:t>
            </w:r>
          </w:p>
        </w:tc>
        <w:tc>
          <w:tcPr>
            <w:tcMar>
              <w:top w:w="0.0" w:type="dxa"/>
              <w:left w:w="0.0" w:type="dxa"/>
              <w:bottom w:w="0.0" w:type="dxa"/>
              <w:right w:w="0.0" w:type="dxa"/>
            </w:tcMar>
          </w:tcPr>
          <w:p w14:paraId="00000005">
            <w:pPr>
              <w:spacing w:after="0" w:line="240" w:lineRule="auto"/>
              <w:rPr>
                <w:color w:val="666666"/>
              </w:rPr>
            </w:pPr>
            <w:r>
              <w:rPr>
                <w:rtl w:val="0"/>
              </w:rPr>
            </w:r>
          </w:p>
        </w:tc>
        <w:tc>
          <w:tcPr>
            <w:tcMar>
              <w:top w:w="0.0" w:type="dxa"/>
              <w:left w:w="0.0" w:type="dxa"/>
              <w:bottom w:w="0.0" w:type="dxa"/>
              <w:right w:w="0.0" w:type="dxa"/>
            </w:tcMar>
          </w:tcPr>
          <w:p w14:paraId="00000006">
            <w:pPr>
              <w:spacing w:after="0" w:line="240" w:lineRule="auto"/>
              <w:rPr>
                <w:color w:val="666666"/>
              </w:rPr>
            </w:pPr>
            <w:r>
              <w:rPr>
                <w:color w:val="666666"/>
                <w:rtl w:val="0"/>
              </w:rPr>
              <w:t xml:space="preserve">Discussion report · Piotr Mańkowski · September 2026</w:t>
            </w:r>
          </w:p>
          <w:p w14:paraId="00000007">
            <w:pPr>
              <w:spacing w:after="0" w:line="240" w:lineRule="auto"/>
              <w:rPr>
                <w:color w:val="666666"/>
              </w:rPr>
            </w:pPr>
            <w:r>
              <w:rPr>
                <w:color w:val="666666"/>
                <w:rtl w:val="0"/>
              </w:rPr>
              <w:t xml:space="preserve"/>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rPr>
          <w:rFonts w:ascii="Helvetica Neue" w:cs="Helvetica Neue" w:eastAsia="Helvetica Neue" w:hAnsi="Helvetica Neue"/>
          <w:b w:val="0"/>
          <w:bCs w:val="0"/>
          <w:i w:val="0"/>
          <w:iCs w:val="0"/>
          <w:smallCaps w:val="0"/>
          <w:strike w:val="0"/>
          <w:color w:val="000000"/>
          <w:sz w:val="48"/>
          <w:szCs w:val="48"/>
          <w:u w:val="none"/>
          <w:shd w:fill="auto" w:val="clear"/>
          <w:vertAlign w:val="baseline"/>
          <w:rtl w:val="0"/>
        </w:rPr>
        <w:t xml:space="preserve">Contents</w:t>
      </w:r>
    </w:p>
    <w:p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sz w:val="48"/>
          <w:szCs w:val="48"/>
        </w:rPr>
      </w:pPr>
      <w:r>
        <w:rPr>
          <w:rtl w:val="0"/>
        </w:rPr>
      </w:r>
    </w:p>
    <w:sdt>
      <w:sdtPr>
        <w:id w:val="-2107746825"/>
        <w:docPartObj>
          <w:docPartGallery w:val="Table of Contents"/>
          <w:docPartUnique w:val="1"/>
        </w:docPartObj>
      </w:sdtPr>
      <w:sdtContent>
        <w:p w14:paraId="0000000B">
          <w:pPr>
            <w:widowControl w:val="0"/>
            <w:tabs>
              <w:tab w:val="right" w:leader="dot" w:pos="936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Executive summary</w:t>
              <w:tab/>
              <w:t xml:space="preserve">2</w:t>
            </w:r>
          </w:hyperlink>
          <w:r>
            <w:rPr>
              <w:rtl w:val="0"/>
            </w:rPr>
          </w:r>
        </w:p>
        <w:p w14:paraId="0000000C">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At a glance</w:t>
              <w:tab/>
              <w:t xml:space="preserve">2</w:t>
            </w:r>
          </w:hyperlink>
          <w:r>
            <w:rPr>
              <w:rtl w:val="0"/>
            </w:rPr>
          </w:r>
        </w:p>
        <w:p w14:paraId="0000000D">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Introduction</w:t>
              <w:tab/>
              <w:t xml:space="preserve">2</w:t>
            </w:r>
          </w:hyperlink>
          <w:r>
            <w:rPr>
              <w:rtl w:val="0"/>
            </w:rPr>
          </w:r>
        </w:p>
        <w:p w14:paraId="0000000E">
          <w:pPr>
            <w:widowControl w:val="0"/>
            <w:tabs>
              <w:tab w:val="right" w:leader="dot" w:pos="936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Key findings</w:t>
              <w:tab/>
              <w:t xml:space="preserve">3</w:t>
            </w:r>
          </w:hyperlink>
          <w:r>
            <w:rPr>
              <w:rtl w:val="0"/>
            </w:rPr>
          </w:r>
        </w:p>
        <w:p w14:paraId="0000000F">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Context and conditions</w:t>
              <w:tab/>
              <w:t xml:space="preserve">3</w:t>
            </w:r>
          </w:hyperlink>
          <w:r>
            <w:rPr>
              <w:rtl w:val="0"/>
            </w:rPr>
          </w:r>
        </w:p>
        <w:p w14:paraId="00000010">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Patterns in the evidence</w:t>
              <w:tab/>
              <w:t xml:space="preserve">3</w:t>
            </w:r>
          </w:hyperlink>
          <w:r>
            <w:rPr>
              <w:rtl w:val="0"/>
            </w:rPr>
          </w:r>
        </w:p>
        <w:p w14:paraId="00000011">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Implications</w:t>
              <w:tab/>
              <w:t xml:space="preserve">3</w:t>
            </w:r>
          </w:hyperlink>
          <w:r>
            <w:rPr>
              <w:rtl w:val="0"/>
            </w:rPr>
          </w:r>
        </w:p>
        <w:p w14:paraId="00000012">
          <w:pPr>
            <w:widowControl w:val="0"/>
            <w:tabs>
              <w:tab w:val="right" w:leader="dot" w:pos="936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Recommendations</w:t>
              <w:tab/>
              <w:t xml:space="preserve">4</w:t>
            </w:r>
          </w:hyperlink>
          <w:r>
            <w:rPr>
              <w:rtl w:val="0"/>
            </w:rPr>
          </w:r>
        </w:p>
        <w:p w14:paraId="00000013">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Conclusion</w:t>
              <w:tab/>
              <w:t xml:space="preserve">4</w:t>
            </w:r>
          </w:hyperlink>
          <w:r>
            <w:rPr>
              <w:rtl w:val="0"/>
            </w:rPr>
          </w:r>
        </w:p>
        <w:p w14:paraId="00000014">
          <w:pPr>
            <w:widowControl w:val="0"/>
            <w:tabs>
              <w:tab w:val="right" w:leader="dot" w:pos="936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Appendix</w:t>
              <w:tab/>
              <w:t xml:space="preserve">5</w:t>
            </w:r>
          </w:hyperlink>
          <w:r>
            <w:rPr>
              <w:rtl w:val="0"/>
            </w:rPr>
          </w:r>
        </w:p>
        <w:p w14:paraId="00000015">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Notes</w:t>
              <w:tab/>
              <w:t xml:space="preserve">5</w:t>
            </w:r>
          </w:hyperlink>
          <w:r>
            <w:rPr>
              <w:rtl w:val="0"/>
            </w:rPr>
          </w:r>
        </w:p>
        <w:p w14:paraId="00000016">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Sources</w:t>
              <w:tab/>
              <w:t xml:space="preserve">5</w:t>
            </w:r>
          </w:hyperlink>
          <w:r>
            <w:rPr>
              <w:rtl w:val="0"/>
            </w:rPr>
          </w:r>
          <w:r>
            <w:fldChar w:fldCharType="end"/>
          </w:r>
        </w:p>
      </w:sdtContent>
    </w:sdt>
    <w:bookmarkStart w:colFirst="0" w:colLast="0" w:name="bookmark=id.i23wo83gyh7m" w:id="1"/>
    <w:bookmarkEnd w:id="1"/>
    <w:p w14:paraId="00000017">
      <w:pPr>
        <w:pStyle w:val="Heading1"/>
        <w:pageBreakBefore w:val="1"/>
        <w:rPr/>
      </w:pPr>
      <w:r>
        <w:rPr>
          <w:rtl w:val="0"/>
        </w:rPr>
        <w:t xml:space="preserve">Executive summary</w:t>
      </w:r>
    </w:p>
    <w:p w14:paraId="00000018">
      <w:pPr>
        <w:rPr/>
      </w:pPr>
      <w:r>
        <w:rPr>
          <w:rtl w:val="0"/>
        </w:rPr>
        <w:t xml:space="preserve">OpenClinAI can support WAHS at several levels: methods, review design, shared testing and selected code. The earliest value may come from showing original sources, checking disagreements and recording human decisions. No code reuse is required to apply those lessons.</w:t>
      </w:r>
    </w:p>
    <w:p w14:paraId="00000019">
      <w:pPr>
        <w:rPr/>
      </w:pPr>
      <w:r>
        <w:rPr>
          <w:rtl w:val="0"/>
        </w:rPr>
        <w:t xml:space="preserve">Start with a small read-only review pilot using fictional examples. A person inspects AI conflict flags and records a decision. QueryStore, the evaluation harness and Med Agent Hub are useful options where their existing behavior fits the chosen source and task.</w:t>
      </w:r>
    </w:p>
    <w:bookmarkStart w:colFirst="0" w:colLast="0" w:name="bookmark=id.1sqjewf8afxt" w:id="2"/>
    <w:bookmarkEnd w:id="2"/>
    <w:p w14:paraId="0000001A">
      <w:pPr>
        <w:pStyle w:val="Heading2"/>
        <w:rPr/>
      </w:pPr>
      <w:r>
        <w:rPr>
          <w:rtl w:val="0"/>
        </w:rPr>
        <w:t xml:space="preserve">At a glance</w:t>
      </w:r>
    </w:p>
    <w:p w14:paraId="0000001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Apply source-based review methods before choosing a software integration.</w:t>
      </w:r>
    </w:p>
    <w:p w14:paraId="0000001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Adapt Catalyst’s review-before-action approach to patient decisions.</w:t>
      </w:r>
    </w:p>
    <w:p w14:paraId="0000001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Use shared tools to inspect errors, corrections and unresolved disagreements.</w:t>
      </w:r>
    </w:p>
    <w:bookmarkStart w:colFirst="0" w:colLast="0" w:name="bookmark=id.4t4jj91ycfx" w:id="3"/>
    <w:bookmarkEnd w:id="3"/>
    <w:p w14:paraId="0000001E">
      <w:pPr>
        <w:pStyle w:val="Heading2"/>
        <w:rPr/>
      </w:pPr>
      <w:r>
        <w:rPr>
          <w:rtl w:val="0"/>
        </w:rPr>
        <w:t xml:space="preserve">Introduction</w:t>
      </w:r>
    </w:p>
    <w:p w14:paraId="0000001F">
      <w:pPr>
        <w:rPr/>
      </w:pPr>
      <w:r>
        <w:rPr>
          <w:rtl w:val="0"/>
        </w:rPr>
        <w:t xml:space="preserve">WAHS discussions identify conflicting records, summaries for sharing and clear AI attribution as opportunities. The meeting also asks how to choose models, manage input size and assess usefulness. These remain design questions. [1]</w:t>
      </w:r>
    </w:p>
    <w:p w14:paraId="00000020">
      <w:pPr>
        <w:rPr/>
      </w:pPr>
      <w:r>
        <w:rPr>
          <w:rtl w:val="0"/>
        </w:rPr>
        <w:t xml:space="preserve">This report connects those needs to reviewed OpenClinAI and QueryStore code and the research programme. The pilot is proposed; it has not been run. WAHS implementation code and representative patient exports were not inspected.</w:t>
      </w:r>
    </w:p>
    <w:bookmarkStart w:colFirst="0" w:colLast="0" w:name="bookmark=id.xx7bxdemqiq" w:id="4"/>
    <w:bookmarkEnd w:id="4"/>
    <w:p w14:paraId="00000021">
      <w:pPr>
        <w:pStyle w:val="Heading1"/>
        <w:pageBreakBefore w:val="1"/>
        <w:rPr/>
      </w:pPr>
      <w:r>
        <w:rPr>
          <w:rtl w:val="0"/>
        </w:rPr>
        <w:t xml:space="preserve">Key findings</w:t>
      </w:r>
    </w:p>
    <w:p w14:paraId="00000022">
      <w:pPr>
        <w:rPr/>
      </w:pPr>
      <w:r>
        <w:rPr>
          <w:rtl w:val="0"/>
        </w:rPr>
        <w:t xml:space="preserve">ChartSearchAI shows supporting chart records. The AI Transparency on FHIR guide adds a way to share which AI helped produce a result, what it affected and what human involvement was recorded. Existing references alone do not establish that compatibility. [2, 3]</w:t>
      </w:r>
    </w:p>
    <w:p w14:paraId="00000023">
      <w:pPr>
        <w:pStyle w:val="Heading2"/>
        <w:rPr/>
      </w:pPr>
      <w:r>
        <w:rPr>
          <w:rtl w:val="0"/>
        </w:rPr>
        <w:t xml:space="preserve">Context and conditions</w:t>
      </w:r>
    </w:p>
    <w:p w14:paraId="00000024">
      <w:pPr>
        <w:rPr/>
      </w:pPr>
      <w:r>
        <w:rPr>
          <w:rtl w:val="0"/>
        </w:rPr>
        <w:t xml:space="preserve">The discussion suggests fewer than a dozen records per person, but one record may contain many entries. Inspect examples before choosing search or data-processing tools. A simple reader for a few files may be enough to begin.</w:t>
      </w:r>
    </w:p>
    <w:p w14:paraId="00000025">
      <w:pPr>
        <w:pStyle w:val="Heading2"/>
        <w:rPr/>
      </w:pPr>
      <w:r>
        <w:rPr>
          <w:rtl w:val="0"/>
        </w:rPr>
        <w:t xml:space="preserve">Patterns in the evidence</w:t>
      </w:r>
    </w:p>
    <w:p w14:paraId="00000026">
      <w:pPr>
        <w:rPr/>
      </w:pPr>
      <w:r>
        <w:rPr>
          <w:rtl w:val="0"/>
        </w:rPr>
        <w:t xml:space="preserve">QueryStore provides an OpenMRS read interface with source identifiers, dates and version markers. This offers a possible pilot source and a transferable design. A WAHS file reader would need its own implementation. A searchable copy may be incomplete or out of date.</w:t>
      </w:r>
    </w:p>
    <w:p w14:paraId="00000027">
      <w:pPr>
        <w:rPr/>
      </w:pPr>
      <w:r>
        <w:rPr>
          <w:rtl w:val="0"/>
        </w:rPr>
      </w:r>
    </w:p>
    <w:p w14:paraId="00000028">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Key takeaway. An automated check, a patient statement and a clinician review are separate facts. A source reference or AI label does not by itself establish correctness.</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
      </w:r>
      <w:r>
        <w:rPr>
          <w:rtl w:val="0"/>
        </w:rPr>
      </w:r>
    </w:p>
    <w:p w14:paraId="00000029">
      <w:pPr>
        <w:pStyle w:val="Heading2"/>
        <w:rPr/>
      </w:pPr>
      <w:r>
        <w:rPr>
          <w:rtl w:val="0"/>
        </w:rPr>
      </w:r>
    </w:p>
    <w:bookmarkStart w:colFirst="0" w:colLast="0" w:name="bookmark=id.suv0vlq0gz4r" w:id="5"/>
    <w:bookmarkEnd w:id="5"/>
    <w:p w14:paraId="0000002A">
      <w:pPr>
        <w:pStyle w:val="Heading2"/>
        <w:rPr/>
      </w:pPr>
      <w:r>
        <w:rPr>
          <w:rtl w:val="0"/>
        </w:rPr>
        <w:t xml:space="preserve">Implications</w:t>
      </w:r>
    </w:p>
    <w:p w14:paraId="0000002B">
      <w:pPr>
        <w:rPr/>
      </w:pPr>
      <w:r>
        <w:rPr>
          <w:rtl w:val="0"/>
        </w:rPr>
        <w:t xml:space="preserve">Methods and review design can transfer immediately. Shared testing needs a small runner. Direct integration should follow only when the source data and workflow justify it.</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3300"/>
        <w:gridCol w:w="4020"/>
        <w:tblGridChange w:id="0">
          <w:tblGrid>
            <w:gridCol w:w="1800"/>
            <w:gridCol w:w="3300"/>
            <w:gridCol w:w="4020"/>
          </w:tblGrid>
        </w:tblGridChange>
      </w:tblGrid>
      <w:tr>
        <w:trPr>
          <w:cantSplit w:val="0"/>
          <w:tblHeader w:val="1"/>
        </w:trPr>
        <w:tc>
          <w:tcPr>
            <w:shd w:fill="f2f2f2" w:val="clear"/>
            <w:tcMar>
              <w:top w:w="110.0" w:type="dxa"/>
              <w:bottom w:w="110.0" w:type="dxa"/>
            </w:tcMar>
            <w:vAlign w:val="center"/>
          </w:tcPr>
          <w:p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Level</w:t>
            </w:r>
            <w:r>
              <w:rPr>
                <w:rtl w:val="0"/>
              </w:rPr>
            </w:r>
          </w:p>
        </w:tc>
        <w:tc>
          <w:tcPr>
            <w:shd w:fill="f2f2f2" w:val="clear"/>
            <w:tcMar>
              <w:top w:w="110.0" w:type="dxa"/>
              <w:bottom w:w="110.0" w:type="dxa"/>
            </w:tcMar>
            <w:vAlign w:val="center"/>
          </w:tcPr>
          <w:p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Existing foundation</w:t>
            </w:r>
            <w:r>
              <w:rPr>
                <w:rtl w:val="0"/>
              </w:rPr>
            </w:r>
          </w:p>
        </w:tc>
        <w:tc>
          <w:tcPr>
            <w:shd w:fill="f2f2f2" w:val="clear"/>
            <w:tcMar>
              <w:top w:w="110.0" w:type="dxa"/>
              <w:bottom w:w="110.0" w:type="dxa"/>
            </w:tcMar>
            <w:vAlign w:val="center"/>
          </w:tcPr>
          <w:p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Possible WAHS use</w:t>
            </w:r>
            <w:r>
              <w:rPr>
                <w:rtl w:val="0"/>
              </w:rPr>
            </w:r>
          </w:p>
        </w:tc>
      </w:tr>
      <w:tr>
        <w:trPr>
          <w:cantSplit w:val="0"/>
          <w:tblHeader w:val="0"/>
        </w:trPr>
        <w:tc>
          <w:tcPr>
            <w:shd w:fill="ffffff" w:val="clear"/>
            <w:tcMar>
              <w:top w:w="110.0" w:type="dxa"/>
              <w:bottom w:w="110.0" w:type="dxa"/>
            </w:tcMar>
            <w:vAlign w:val="center"/>
          </w:tcPr>
          <w:p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Methods</w:t>
            </w:r>
          </w:p>
        </w:tc>
        <w:tc>
          <w:tcPr>
            <w:shd w:fill="ffffff" w:val="clear"/>
            <w:tcMar>
              <w:top w:w="110.0" w:type="dxa"/>
              <w:bottom w:w="110.0" w:type="dxa"/>
            </w:tcMar>
            <w:vAlign w:val="center"/>
          </w:tcPr>
          <w:p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Source-based review</w:t>
            </w:r>
          </w:p>
        </w:tc>
        <w:tc>
          <w:tcPr>
            <w:shd w:fill="ffffff" w:val="clear"/>
            <w:tcMar>
              <w:top w:w="110.0" w:type="dxa"/>
              <w:bottom w:w="110.0" w:type="dxa"/>
            </w:tcMar>
            <w:vAlign w:val="center"/>
          </w:tcPr>
          <w:p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Review examples together</w:t>
            </w:r>
          </w:p>
        </w:tc>
      </w:tr>
      <w:tr>
        <w:trPr>
          <w:cantSplit w:val="0"/>
          <w:tblHeader w:val="0"/>
        </w:trPr>
        <w:tc>
          <w:tcPr>
            <w:shd w:fill="ffffff" w:val="clear"/>
            <w:tcMar>
              <w:top w:w="110.0" w:type="dxa"/>
              <w:bottom w:w="110.0" w:type="dxa"/>
            </w:tcMar>
            <w:vAlign w:val="center"/>
          </w:tcPr>
          <w:p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Design</w:t>
            </w:r>
          </w:p>
        </w:tc>
        <w:tc>
          <w:tcPr>
            <w:shd w:fill="ffffff" w:val="clear"/>
            <w:tcMar>
              <w:top w:w="110.0" w:type="dxa"/>
              <w:bottom w:w="110.0" w:type="dxa"/>
            </w:tcMar>
            <w:vAlign w:val="center"/>
          </w:tcPr>
          <w:p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Inspect before action</w:t>
            </w:r>
          </w:p>
        </w:tc>
        <w:tc>
          <w:tcPr>
            <w:shd w:fill="ffffff" w:val="clear"/>
            <w:tcMar>
              <w:top w:w="110.0" w:type="dxa"/>
              <w:bottom w:w="110.0" w:type="dxa"/>
            </w:tcMar>
            <w:vAlign w:val="center"/>
          </w:tcPr>
          <w:p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Patient decision workflow</w:t>
            </w:r>
          </w:p>
        </w:tc>
      </w:tr>
      <w:tr>
        <w:trPr>
          <w:cantSplit w:val="0"/>
          <w:tblHeader w:val="0"/>
        </w:trPr>
        <w:tc>
          <w:tcPr>
            <w:shd w:fill="ffffff" w:val="clear"/>
            <w:tcMar>
              <w:top w:w="110.0" w:type="dxa"/>
              <w:bottom w:w="110.0" w:type="dxa"/>
            </w:tcMar>
            <w:vAlign w:val="center"/>
          </w:tcPr>
          <w:p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Tools</w:t>
            </w:r>
          </w:p>
        </w:tc>
        <w:tc>
          <w:tcPr>
            <w:shd w:fill="ffffff" w:val="clear"/>
            <w:tcMar>
              <w:top w:w="110.0" w:type="dxa"/>
              <w:bottom w:w="110.0" w:type="dxa"/>
            </w:tcMar>
            <w:vAlign w:val="center"/>
          </w:tcPr>
          <w:p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QueryStore, Hub and harness</w:t>
            </w:r>
          </w:p>
        </w:tc>
        <w:tc>
          <w:tcPr>
            <w:shd w:fill="ffffff" w:val="clear"/>
            <w:tcMar>
              <w:top w:w="110.0" w:type="dxa"/>
              <w:bottom w:w="110.0" w:type="dxa"/>
            </w:tcMar>
            <w:vAlign w:val="center"/>
          </w:tcPr>
          <w:p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Read-only evaluation pilot</w:t>
            </w:r>
          </w:p>
        </w:tc>
      </w:tr>
    </w:tbl>
    <w:bookmarkStart w:colFirst="0" w:colLast="0" w:name="bookmark=id.vvr4bduzzdc0" w:id="6"/>
    <w:bookmarkEnd w:id="6"/>
    <w:p w14:paraId="00000038">
      <w:pPr>
        <w:pStyle w:val="Heading1"/>
        <w:pageBreakBefore w:val="1"/>
        <w:rPr/>
      </w:pPr>
      <w:r>
        <w:rPr>
          <w:rtl w:val="0"/>
        </w:rPr>
        <w:t xml:space="preserve">Recommendations</w:t>
      </w:r>
    </w:p>
    <w:p w14:paraId="00000039">
      <w:pPr>
        <w:rPr/>
      </w:pPr>
      <w:r>
        <w:rPr>
          <w:rtl w:val="0"/>
        </w:rPr>
        <w:t xml:space="preserve">Proposed first pilot: a read-only review bench for fictional medication histories. Preserve originals and record reviewer decisions separately. Set a timebox once examples and reviewers are available.</w:t>
      </w:r>
    </w:p>
    <w:p w14:paraId="0000003A">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Agree a few cases. Include a duplicate, a real change over time, a disagreement, a missing date and a patient correction. Record what should be flagged and what must remain unresolved.</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r>
    </w:p>
    <w:p w14:paraId="0000003B">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Run and inspect. A small harness runner reads cases, calls one model through Hub and records inputs, outputs and errors. Use QueryStore directly only for an OpenMRS test source.</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r>
    </w:p>
    <w:p w14:paraId="0000003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Review together. Inspect missed disagreements, mistaken flags and useful corrections. Decide whether to improve the cases, revise instructions or connect WAHS data. A small pilot does not establish clinical safety.</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r>
    </w:p>
    <w:bookmarkStart w:colFirst="0" w:colLast="0" w:name="bookmark=id.rl3o3rp5qmnq" w:id="7"/>
    <w:bookmarkEnd w:id="7"/>
    <w:p w14:paraId="0000003D">
      <w:pPr>
        <w:pStyle w:val="Heading2"/>
        <w:rPr/>
      </w:pPr>
      <w:r>
        <w:rPr>
          <w:rtl w:val="0"/>
        </w:rPr>
        <w:t xml:space="preserve">Conclusion</w:t>
      </w:r>
    </w:p>
    <w:p w14:paraId="0000003E">
      <w:pPr>
        <w:rPr/>
      </w:pPr>
      <w:r>
        <w:rPr>
          <w:rtl w:val="0"/>
        </w:rPr>
        <w:t xml:space="preserve">WAHS could provide useful cases for studying information selection, individual decisions, human control and small local models. The general Hub endpoint runs model calls; the richer Catalyst request records are specific to its query path. A WAHS runner must capture its own evidence.</w:t>
      </w:r>
    </w:p>
    <w:p w14:paraId="0000003F">
      <w:pPr>
        <w:rPr/>
      </w:pPr>
      <w:r>
        <w:rPr>
          <w:rtl w:val="0"/>
        </w:rPr>
        <w:t xml:space="preserve">The dissertation focuses on adapting WHO SMART Guidelines for HIV care. WAHS could test whether methods transfer to another setting. A publishable study needs its own questions, comparison design and literature review. [4]</w:t>
      </w:r>
    </w:p>
    <w:bookmarkStart w:colFirst="0" w:colLast="0" w:name="bookmark=id.cf45595vup8a" w:id="8"/>
    <w:bookmarkEnd w:id="8"/>
    <w:p w14:paraId="00000040">
      <w:pPr>
        <w:pStyle w:val="Heading1"/>
        <w:pageBreakBefore w:val="1"/>
        <w:rPr/>
      </w:pPr>
      <w:r>
        <w:rPr>
          <w:rtl w:val="0"/>
        </w:rPr>
        <w:t xml:space="preserve">Appendix</w:t>
      </w:r>
    </w:p>
    <w:bookmarkStart w:colFirst="0" w:colLast="0" w:name="bookmark=id.ptrg31dozyqs" w:id="9"/>
    <w:bookmarkEnd w:id="9"/>
    <w:p w14:paraId="00000041">
      <w:pPr>
        <w:pStyle w:val="Heading2"/>
        <w:rPr/>
      </w:pPr>
      <w:r>
        <w:rPr>
          <w:rtl w:val="0"/>
        </w:rPr>
        <w:t xml:space="preserve">Notes</w:t>
      </w:r>
    </w:p>
    <w:p w14:paraId="00000042">
      <w:pPr>
        <w:rPr/>
      </w:pPr>
      <w:r>
        <w:rPr>
          <w:rtl w:val="0"/>
        </w:rPr>
        <w:t xml:space="preserve">Reviewed sources include the meeting and supplied transcript, Hub and QueryStore code pinned by the harness, and private research plans. Meeting and research links require team access. Connectathon criteria came from the supplied excerpt; its page could not be fetched.</w:t>
      </w:r>
    </w:p>
    <w:p w14:paraId="00000043">
      <w:pPr>
        <w:rPr/>
      </w:pPr>
      <w:r>
        <w:rPr>
          <w:rtl w:val="0"/>
        </w:rPr>
        <w:t xml:space="preserve">UX research supports a clear overview, optional detail and easy correction. The browser report separates methods from software reuse and labels proposals. Its design has not been tested with patients. [5]</w:t>
      </w:r>
    </w:p>
    <w:bookmarkStart w:colFirst="0" w:colLast="0" w:name="bookmark=id.nnk1eebni0ji" w:id="10"/>
    <w:bookmarkEnd w:id="10"/>
    <w:p w14:paraId="00000044">
      <w:pPr>
        <w:pStyle w:val="Heading2"/>
        <w:rPr/>
      </w:pPr>
      <w:r>
        <w:rPr>
          <w:rtl w:val="0"/>
        </w:rPr>
        <w:t xml:space="preserve">Sources</w:t>
      </w:r>
    </w:p>
    <w:p w14:paraId="0000004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hyperlink r:id="rIdWahs63">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[1] WAHS. EHI meeting notes, 24 August 2026, version 5. Updated 1 September 2026.</w:t>
        </w:r>
      </w:hyperlink>
    </w:p>
    <w:p w14:paraId="0000004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hyperlink r:id="rIdWahs64">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[2] OpenClinAI. Hub source at 939720e, QueryStore at 8dc6ef9; harness metadata and Catalyst roadmap at 4053352.</w:t>
        </w:r>
      </w:hyperlink>
    </w:p>
    <w:p w14:paraId="0000004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hyperlink r:id="rIdWahs65">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[3] HL7. AI Transparency on FHIR current branch, AI Provenance profile and FHIR R4 document rules. Accessed 9 September 2026.</w:t>
        </w:r>
      </w:hyperlink>
    </w:p>
    <w:p w14:paraId="0000004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hyperlink r:id="rIdWahs66">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[4] Mańkowski. Dissertation scope, paper plan and draft preregistration; research sitrep, 6 September 2026. digging-in-research.</w:t>
        </w:r>
      </w:hyperlink>
    </w:p>
    <w:p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Pr>
          <w:rtl w:val="0"/>
        </w:rPr>
      </w:r>
    </w:p>
    <w:p w14:paraId="0000004A">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r:id="rIdWahs68">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[5] Design guidance. Nielsen Norman Group on progressive disclosure; Microsoft HAX on correction; USWDS and W3C on accessible reading. Full report: wahs.openclinai.org.</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
        </w:r>
      </w:hyperlink>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WAHS and OpenClinAI</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September 2026</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 Id="rIdWahs63" Type="http://schemas.openxmlformats.org/officeDocument/2006/relationships/hyperlink" Target="https://uwdigi.atlassian.net/wiki/spaces/WAIPS/pages/1588658206/2026-08-24+EHI+Meeting+notes" TargetMode="External"/><Relationship Id="rIdWahs64" Type="http://schemas.openxmlformats.org/officeDocument/2006/relationships/hyperlink" Target="https://github.com/pmanko/med-agent-hub/blob/939720e4f52adec8f2fd573157a049afc1656654/server/context_sources.py#L150" TargetMode="External"/><Relationship Id="rIdWahs65" Type="http://schemas.openxmlformats.org/officeDocument/2006/relationships/hyperlink" Target="https://build.fhir.org/ig/HL7/aitransparency-ig/branches/main/en/requirements.html" TargetMode="External"/><Relationship Id="rIdWahs66" Type="http://schemas.openxmlformats.org/officeDocument/2006/relationships/hyperlink" Target="https://github.com/pmanko/digging-in-research/blob/main/research-site/content/07-dissertation-scope.md" TargetMode="External"/><Relationship Id="rIdWahs68" Type="http://schemas.openxmlformats.org/officeDocument/2006/relationships/hyperlink" Target="https://www.microsoft.com/en-us/haxtoolkit/guideline/support-efficient-correctio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