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0450" w14:textId="77777777" w:rsidR="00F26503" w:rsidRPr="00B84421" w:rsidRDefault="00000000" w:rsidP="004B385C">
      <w:pPr>
        <w:pStyle w:val="Heading1"/>
        <w:spacing w:line="480" w:lineRule="auto"/>
        <w:rPr>
          <w:b/>
          <w:bCs/>
          <w:color w:val="auto"/>
          <w:sz w:val="20"/>
          <w:szCs w:val="20"/>
        </w:rPr>
      </w:pPr>
      <w:bookmarkStart w:id="0" w:name="X3604838d16faddda937f977e58c250f0e669cd9"/>
      <w:r w:rsidRPr="00B84421">
        <w:rPr>
          <w:b/>
          <w:bCs/>
          <w:color w:val="auto"/>
          <w:sz w:val="20"/>
          <w:szCs w:val="20"/>
        </w:rPr>
        <w:t>Volumetric Measurement Methods for Pediatric Optic Pathway Gliomas: A Scoping Review</w:t>
      </w:r>
    </w:p>
    <w:p w14:paraId="681D1AF2" w14:textId="77777777" w:rsidR="00F26503" w:rsidRPr="008B1B5B" w:rsidRDefault="00000000" w:rsidP="004B385C">
      <w:pPr>
        <w:spacing w:line="480" w:lineRule="auto"/>
        <w:rPr>
          <w:sz w:val="20"/>
          <w:szCs w:val="20"/>
        </w:rPr>
      </w:pPr>
      <w:r>
        <w:rPr>
          <w:sz w:val="20"/>
          <w:szCs w:val="20"/>
        </w:rPr>
        <w:pict w14:anchorId="77B38523">
          <v:rect id="_x0000_i1025" style="width:0;height:1.5pt" o:hralign="center" o:hrstd="t" o:hr="t"/>
        </w:pict>
      </w:r>
    </w:p>
    <w:p w14:paraId="6A7138AF" w14:textId="77777777" w:rsidR="00F26503" w:rsidRPr="008B1B5B" w:rsidRDefault="00000000" w:rsidP="004B385C">
      <w:pPr>
        <w:pStyle w:val="FirstParagraph"/>
        <w:spacing w:line="480" w:lineRule="auto"/>
        <w:rPr>
          <w:sz w:val="20"/>
          <w:szCs w:val="20"/>
        </w:rPr>
      </w:pPr>
      <w:bookmarkStart w:id="1" w:name="title-page"/>
      <w:r w:rsidRPr="008B1B5B">
        <w:rPr>
          <w:b/>
          <w:bCs/>
          <w:sz w:val="20"/>
          <w:szCs w:val="20"/>
        </w:rPr>
        <w:t>Title:</w:t>
      </w:r>
      <w:r w:rsidRPr="008B1B5B">
        <w:rPr>
          <w:sz w:val="20"/>
          <w:szCs w:val="20"/>
        </w:rPr>
        <w:t xml:space="preserve"> Volumetric Measurement Methods for Pediatric Optic Pathway Gliomas: A Scoping Review</w:t>
      </w:r>
    </w:p>
    <w:p w14:paraId="1498748F" w14:textId="77777777" w:rsidR="00F26503" w:rsidRPr="008B1B5B" w:rsidRDefault="00000000" w:rsidP="004B385C">
      <w:pPr>
        <w:pStyle w:val="BodyText"/>
        <w:spacing w:line="480" w:lineRule="auto"/>
        <w:rPr>
          <w:sz w:val="20"/>
          <w:szCs w:val="20"/>
        </w:rPr>
      </w:pPr>
      <w:r w:rsidRPr="008B1B5B">
        <w:rPr>
          <w:b/>
          <w:bCs/>
          <w:sz w:val="20"/>
          <w:szCs w:val="20"/>
        </w:rPr>
        <w:t>Running Title:</w:t>
      </w:r>
      <w:r w:rsidRPr="008B1B5B">
        <w:rPr>
          <w:sz w:val="20"/>
          <w:szCs w:val="20"/>
        </w:rPr>
        <w:t xml:space="preserve"> OPG Volumetric Methods Review</w:t>
      </w:r>
    </w:p>
    <w:p w14:paraId="37BC4367" w14:textId="0294C128" w:rsidR="00F26503" w:rsidRPr="008B1B5B" w:rsidRDefault="00000000" w:rsidP="004B385C">
      <w:pPr>
        <w:pStyle w:val="BodyText"/>
        <w:spacing w:line="480" w:lineRule="auto"/>
        <w:rPr>
          <w:sz w:val="20"/>
          <w:szCs w:val="20"/>
        </w:rPr>
      </w:pPr>
      <w:r w:rsidRPr="008B1B5B">
        <w:rPr>
          <w:b/>
          <w:bCs/>
          <w:sz w:val="20"/>
          <w:szCs w:val="20"/>
        </w:rPr>
        <w:t>Author:</w:t>
      </w:r>
      <w:r w:rsidRPr="008B1B5B">
        <w:rPr>
          <w:sz w:val="20"/>
          <w:szCs w:val="20"/>
        </w:rPr>
        <w:t xml:space="preserve"> Perry H. Martin,</w:t>
      </w:r>
      <w:r w:rsidR="007D6F92">
        <w:rPr>
          <w:sz w:val="20"/>
          <w:szCs w:val="20"/>
        </w:rPr>
        <w:t xml:space="preserve"> </w:t>
      </w:r>
      <w:r w:rsidRPr="008B1B5B">
        <w:rPr>
          <w:sz w:val="20"/>
          <w:szCs w:val="20"/>
        </w:rPr>
        <w:t>MSN, BSN</w:t>
      </w:r>
      <w:r w:rsidR="008025F9">
        <w:rPr>
          <w:sz w:val="20"/>
          <w:szCs w:val="20"/>
        </w:rPr>
        <w:t>, RN</w:t>
      </w:r>
    </w:p>
    <w:p w14:paraId="4C729BC3" w14:textId="0352220C" w:rsidR="00F26503" w:rsidRPr="008B1B5B" w:rsidRDefault="00000000" w:rsidP="004B385C">
      <w:pPr>
        <w:pStyle w:val="BodyText"/>
        <w:spacing w:line="480" w:lineRule="auto"/>
        <w:rPr>
          <w:sz w:val="20"/>
          <w:szCs w:val="20"/>
        </w:rPr>
      </w:pPr>
      <w:r w:rsidRPr="008B1B5B">
        <w:rPr>
          <w:b/>
          <w:bCs/>
          <w:sz w:val="20"/>
          <w:szCs w:val="20"/>
        </w:rPr>
        <w:t>Affiliations:</w:t>
      </w:r>
      <w:r w:rsidRPr="008B1B5B">
        <w:rPr>
          <w:sz w:val="20"/>
          <w:szCs w:val="20"/>
        </w:rPr>
        <w:t xml:space="preserve"> University of Alabama at Birmingham School of Nursing, Birmingham, Alabama, USA</w:t>
      </w:r>
    </w:p>
    <w:p w14:paraId="63CE5D68" w14:textId="77777777" w:rsidR="00F26503" w:rsidRPr="008B1B5B" w:rsidRDefault="00000000" w:rsidP="004B385C">
      <w:pPr>
        <w:pStyle w:val="BodyText"/>
        <w:spacing w:line="480" w:lineRule="auto"/>
        <w:rPr>
          <w:sz w:val="20"/>
          <w:szCs w:val="20"/>
        </w:rPr>
      </w:pPr>
      <w:r w:rsidRPr="008B1B5B">
        <w:rPr>
          <w:b/>
          <w:bCs/>
          <w:sz w:val="20"/>
          <w:szCs w:val="20"/>
        </w:rPr>
        <w:t>Corresponding Author:</w:t>
      </w:r>
      <w:r w:rsidRPr="008B1B5B">
        <w:rPr>
          <w:sz w:val="20"/>
          <w:szCs w:val="20"/>
        </w:rPr>
        <w:t xml:space="preserve"> Perry H. Martin, DNP Student, MSN, BSN University of Alabama at Birmingham School of Nursing 1701 University Boulevard Birmingham, AL 35294, USA Email: phmartin@uab.edu Tel: 205-837-3767</w:t>
      </w:r>
    </w:p>
    <w:p w14:paraId="7EE24940" w14:textId="47754AE1" w:rsidR="00F26503" w:rsidRPr="008B1B5B" w:rsidRDefault="00000000" w:rsidP="004B385C">
      <w:pPr>
        <w:pStyle w:val="BodyText"/>
        <w:spacing w:line="480" w:lineRule="auto"/>
        <w:rPr>
          <w:sz w:val="20"/>
          <w:szCs w:val="20"/>
        </w:rPr>
      </w:pPr>
      <w:r w:rsidRPr="008B1B5B">
        <w:rPr>
          <w:b/>
          <w:bCs/>
          <w:sz w:val="20"/>
          <w:szCs w:val="20"/>
        </w:rPr>
        <w:t>Word Count:</w:t>
      </w:r>
      <w:r w:rsidRPr="008B1B5B">
        <w:rPr>
          <w:sz w:val="20"/>
          <w:szCs w:val="20"/>
        </w:rPr>
        <w:t xml:space="preserve"> </w:t>
      </w:r>
      <w:r w:rsidR="0005020E" w:rsidRPr="008B1B5B">
        <w:rPr>
          <w:sz w:val="20"/>
          <w:szCs w:val="20"/>
        </w:rPr>
        <w:t>2,</w:t>
      </w:r>
      <w:r w:rsidR="000E3423">
        <w:rPr>
          <w:sz w:val="20"/>
          <w:szCs w:val="20"/>
        </w:rPr>
        <w:t>31</w:t>
      </w:r>
      <w:r w:rsidR="00392311">
        <w:rPr>
          <w:sz w:val="20"/>
          <w:szCs w:val="20"/>
        </w:rPr>
        <w:t>9</w:t>
      </w:r>
      <w:r w:rsidRPr="008B1B5B">
        <w:rPr>
          <w:sz w:val="20"/>
          <w:szCs w:val="20"/>
        </w:rPr>
        <w:t xml:space="preserve"> (body text: Introduction through Conclusion)</w:t>
      </w:r>
    </w:p>
    <w:p w14:paraId="4A2120B9" w14:textId="77777777" w:rsidR="00F26503" w:rsidRPr="008B1B5B" w:rsidRDefault="00000000" w:rsidP="004B385C">
      <w:pPr>
        <w:pStyle w:val="BodyText"/>
        <w:spacing w:line="480" w:lineRule="auto"/>
        <w:rPr>
          <w:sz w:val="20"/>
          <w:szCs w:val="20"/>
        </w:rPr>
      </w:pPr>
      <w:r w:rsidRPr="008B1B5B">
        <w:rPr>
          <w:b/>
          <w:bCs/>
          <w:sz w:val="20"/>
          <w:szCs w:val="20"/>
        </w:rPr>
        <w:t>Number of Tables:</w:t>
      </w:r>
      <w:r w:rsidRPr="008B1B5B">
        <w:rPr>
          <w:sz w:val="20"/>
          <w:szCs w:val="20"/>
        </w:rPr>
        <w:t xml:space="preserve"> 3</w:t>
      </w:r>
    </w:p>
    <w:p w14:paraId="73F13870" w14:textId="77777777" w:rsidR="00F26503" w:rsidRPr="008B1B5B" w:rsidRDefault="00000000" w:rsidP="004B385C">
      <w:pPr>
        <w:pStyle w:val="BodyText"/>
        <w:spacing w:line="480" w:lineRule="auto"/>
        <w:rPr>
          <w:sz w:val="20"/>
          <w:szCs w:val="20"/>
        </w:rPr>
      </w:pPr>
      <w:r w:rsidRPr="008B1B5B">
        <w:rPr>
          <w:b/>
          <w:bCs/>
          <w:sz w:val="20"/>
          <w:szCs w:val="20"/>
        </w:rPr>
        <w:t>Number of Figures:</w:t>
      </w:r>
      <w:r w:rsidRPr="008B1B5B">
        <w:rPr>
          <w:sz w:val="20"/>
          <w:szCs w:val="20"/>
        </w:rPr>
        <w:t xml:space="preserve"> 1</w:t>
      </w:r>
    </w:p>
    <w:p w14:paraId="080F1BB9" w14:textId="77777777" w:rsidR="00F26503" w:rsidRPr="008B1B5B" w:rsidRDefault="00000000" w:rsidP="004B385C">
      <w:pPr>
        <w:pStyle w:val="BodyText"/>
        <w:spacing w:line="480" w:lineRule="auto"/>
        <w:rPr>
          <w:sz w:val="20"/>
          <w:szCs w:val="20"/>
        </w:rPr>
      </w:pPr>
      <w:r w:rsidRPr="008B1B5B">
        <w:rPr>
          <w:b/>
          <w:bCs/>
          <w:sz w:val="20"/>
          <w:szCs w:val="20"/>
        </w:rPr>
        <w:t>Supplementary Materials:</w:t>
      </w:r>
      <w:r w:rsidRPr="008B1B5B">
        <w:rPr>
          <w:sz w:val="20"/>
          <w:szCs w:val="20"/>
        </w:rPr>
        <w:t xml:space="preserve"> 5 files</w:t>
      </w:r>
    </w:p>
    <w:p w14:paraId="46A74593" w14:textId="77777777" w:rsidR="00F26503" w:rsidRPr="008B1B5B" w:rsidRDefault="00000000" w:rsidP="004B385C">
      <w:pPr>
        <w:pStyle w:val="BodyText"/>
        <w:spacing w:line="480" w:lineRule="auto"/>
        <w:rPr>
          <w:sz w:val="20"/>
          <w:szCs w:val="20"/>
        </w:rPr>
      </w:pPr>
      <w:r w:rsidRPr="008B1B5B">
        <w:rPr>
          <w:b/>
          <w:bCs/>
          <w:sz w:val="20"/>
          <w:szCs w:val="20"/>
        </w:rPr>
        <w:t>Conflicts of Interest:</w:t>
      </w:r>
      <w:r w:rsidRPr="008B1B5B">
        <w:rPr>
          <w:sz w:val="20"/>
          <w:szCs w:val="20"/>
        </w:rPr>
        <w:t xml:space="preserve"> The author declares no conflicts of interest.</w:t>
      </w:r>
    </w:p>
    <w:p w14:paraId="1A24E92D" w14:textId="77777777" w:rsidR="00F26503" w:rsidRPr="008B1B5B" w:rsidRDefault="00000000" w:rsidP="004B385C">
      <w:pPr>
        <w:pStyle w:val="BodyText"/>
        <w:spacing w:line="480" w:lineRule="auto"/>
        <w:rPr>
          <w:sz w:val="20"/>
          <w:szCs w:val="20"/>
        </w:rPr>
      </w:pPr>
      <w:r w:rsidRPr="008B1B5B">
        <w:rPr>
          <w:b/>
          <w:bCs/>
          <w:sz w:val="20"/>
          <w:szCs w:val="20"/>
        </w:rPr>
        <w:t>Funding:</w:t>
      </w:r>
      <w:r w:rsidRPr="008B1B5B">
        <w:rPr>
          <w:sz w:val="20"/>
          <w:szCs w:val="20"/>
        </w:rPr>
        <w:t xml:space="preserve"> No funding was received for this work.</w:t>
      </w:r>
    </w:p>
    <w:p w14:paraId="151235D9" w14:textId="77777777" w:rsidR="00F26503" w:rsidRPr="008B1B5B" w:rsidRDefault="00000000" w:rsidP="004B385C">
      <w:pPr>
        <w:pStyle w:val="BodyText"/>
        <w:spacing w:line="480" w:lineRule="auto"/>
        <w:rPr>
          <w:sz w:val="20"/>
          <w:szCs w:val="20"/>
        </w:rPr>
      </w:pPr>
      <w:r w:rsidRPr="008B1B5B">
        <w:rPr>
          <w:b/>
          <w:bCs/>
          <w:sz w:val="20"/>
          <w:szCs w:val="20"/>
        </w:rPr>
        <w:t>AI Disclosure:</w:t>
      </w:r>
      <w:r w:rsidRPr="008B1B5B">
        <w:rPr>
          <w:sz w:val="20"/>
          <w:szCs w:val="20"/>
        </w:rPr>
        <w:t xml:space="preserve"> Large language models (Claude) were used to assist with literature organization, data synthesis, and manuscript preparation. All content was verified by the author against primary sources.</w:t>
      </w:r>
    </w:p>
    <w:p w14:paraId="76A878C8" w14:textId="77777777" w:rsidR="00F26503" w:rsidRPr="008B1B5B" w:rsidRDefault="00000000" w:rsidP="004B385C">
      <w:pPr>
        <w:spacing w:line="480" w:lineRule="auto"/>
        <w:rPr>
          <w:sz w:val="20"/>
          <w:szCs w:val="20"/>
        </w:rPr>
      </w:pPr>
      <w:r>
        <w:rPr>
          <w:sz w:val="20"/>
          <w:szCs w:val="20"/>
        </w:rPr>
        <w:pict w14:anchorId="3D078E1F">
          <v:rect id="_x0000_i1026" style="width:0;height:1.5pt" o:hralign="center" o:hrstd="t" o:hr="t"/>
        </w:pict>
      </w:r>
    </w:p>
    <w:p w14:paraId="382E7E47" w14:textId="77777777" w:rsidR="00F26503" w:rsidRPr="006E3604" w:rsidRDefault="00000000" w:rsidP="004B385C">
      <w:pPr>
        <w:pStyle w:val="Heading2"/>
        <w:spacing w:line="480" w:lineRule="auto"/>
        <w:rPr>
          <w:b/>
          <w:bCs/>
          <w:color w:val="auto"/>
          <w:sz w:val="20"/>
          <w:szCs w:val="20"/>
        </w:rPr>
      </w:pPr>
      <w:bookmarkStart w:id="2" w:name="abstract"/>
      <w:bookmarkEnd w:id="1"/>
      <w:r w:rsidRPr="006E3604">
        <w:rPr>
          <w:b/>
          <w:bCs/>
          <w:color w:val="auto"/>
          <w:sz w:val="20"/>
          <w:szCs w:val="20"/>
        </w:rPr>
        <w:lastRenderedPageBreak/>
        <w:t>Abstract</w:t>
      </w:r>
    </w:p>
    <w:p w14:paraId="6AAF39BD" w14:textId="77777777" w:rsidR="00F26503" w:rsidRPr="008B1B5B" w:rsidRDefault="00000000" w:rsidP="004B385C">
      <w:pPr>
        <w:pStyle w:val="FirstParagraph"/>
        <w:spacing w:line="480" w:lineRule="auto"/>
        <w:rPr>
          <w:sz w:val="20"/>
          <w:szCs w:val="20"/>
        </w:rPr>
      </w:pPr>
      <w:r w:rsidRPr="008B1B5B">
        <w:rPr>
          <w:b/>
          <w:bCs/>
          <w:sz w:val="20"/>
          <w:szCs w:val="20"/>
        </w:rPr>
        <w:t>Purpose:</w:t>
      </w:r>
      <w:r w:rsidRPr="008B1B5B">
        <w:rPr>
          <w:sz w:val="20"/>
          <w:szCs w:val="20"/>
        </w:rPr>
        <w:t xml:space="preserve"> To comprehensively map volumetric measurement methods for pediatric optic pathway glioma (OPG) and identify critical knowledge gaps limiting clinical translation.</w:t>
      </w:r>
    </w:p>
    <w:p w14:paraId="5F470098" w14:textId="63A239E5" w:rsidR="00F26503" w:rsidRPr="008B1B5B" w:rsidRDefault="00000000" w:rsidP="004B385C">
      <w:pPr>
        <w:pStyle w:val="BodyText"/>
        <w:spacing w:line="480" w:lineRule="auto"/>
        <w:rPr>
          <w:sz w:val="20"/>
          <w:szCs w:val="20"/>
        </w:rPr>
      </w:pPr>
      <w:r w:rsidRPr="008B1B5B">
        <w:rPr>
          <w:b/>
          <w:bCs/>
          <w:sz w:val="20"/>
          <w:szCs w:val="20"/>
        </w:rPr>
        <w:t>Methods:</w:t>
      </w:r>
      <w:r w:rsidRPr="008B1B5B">
        <w:rPr>
          <w:sz w:val="20"/>
          <w:szCs w:val="20"/>
        </w:rPr>
        <w:t xml:space="preserve"> Scoping review following PRISMA-ScR guidelines, searching PubMed, Embase, Cochrane Library, and Web of Science from 2000 through January 2026. Studies describing volumetric measurement methods for pediatric OPG assessment were included. Data were extracted on methodology, software platforms, reliability metrics, clinical thresholds, and volume-outcome correlations.</w:t>
      </w:r>
    </w:p>
    <w:p w14:paraId="41EEA780" w14:textId="03CA6268" w:rsidR="00F26503" w:rsidRPr="008B1B5B" w:rsidRDefault="00000000" w:rsidP="004B385C">
      <w:pPr>
        <w:pStyle w:val="BodyText"/>
        <w:spacing w:line="480" w:lineRule="auto"/>
        <w:rPr>
          <w:sz w:val="20"/>
          <w:szCs w:val="20"/>
        </w:rPr>
      </w:pPr>
      <w:r w:rsidRPr="008B1B5B">
        <w:rPr>
          <w:b/>
          <w:bCs/>
          <w:sz w:val="20"/>
          <w:szCs w:val="20"/>
        </w:rPr>
        <w:t>Results:</w:t>
      </w:r>
      <w:r w:rsidR="00F9219B" w:rsidRPr="008B1B5B">
        <w:rPr>
          <w:sz w:val="20"/>
          <w:szCs w:val="20"/>
        </w:rPr>
        <w:t xml:space="preserve"> Twenty-eight studies published between 2003 and 2025 met inclusion criteria. Twenty-seven studies employed volumetric methods (manual segmentation: 44%, semi-automated: 33%, fully automated: 7%, approximation formulas: 15%); one study using exclusively 2D measurements was retained for comparative analysis</w:t>
      </w:r>
      <w:r w:rsidRPr="008B1B5B">
        <w:rPr>
          <w:sz w:val="20"/>
          <w:szCs w:val="20"/>
        </w:rPr>
        <w:t>. Only 5 studies (18%) reported inter-rater reliability metrics. Clinical thresholds included anterior visual pathway volume &gt;1.75 mL for visual acuity loss prediction (sensitivity 87%, specificity 90%) and tumor growth velocity &gt;0.1 cm³/month (</w:t>
      </w:r>
      <w:r w:rsidR="00BB5AF8">
        <w:rPr>
          <w:sz w:val="20"/>
          <w:szCs w:val="20"/>
        </w:rPr>
        <w:t>area under the curve [</w:t>
      </w:r>
      <w:r w:rsidRPr="008B1B5B">
        <w:rPr>
          <w:sz w:val="20"/>
          <w:szCs w:val="20"/>
        </w:rPr>
        <w:t>AUC</w:t>
      </w:r>
      <w:r w:rsidR="00BB5AF8">
        <w:rPr>
          <w:sz w:val="20"/>
          <w:szCs w:val="20"/>
        </w:rPr>
        <w:t>]</w:t>
      </w:r>
      <w:r w:rsidRPr="008B1B5B">
        <w:rPr>
          <w:sz w:val="20"/>
          <w:szCs w:val="20"/>
        </w:rPr>
        <w:t xml:space="preserve"> 0.81). Notably, tumor volume demonstrated strong correlation with retinal nerve fiber layer thickness (rs = -0.939) but weak or absent correlation with visual acuity, challenging assumptions about the clinical significance of tumor shrinkage.</w:t>
      </w:r>
    </w:p>
    <w:p w14:paraId="7B9CC2FF" w14:textId="1F913F79" w:rsidR="00F26503" w:rsidRPr="008B1B5B" w:rsidRDefault="00000000" w:rsidP="004B385C">
      <w:pPr>
        <w:pStyle w:val="BodyText"/>
        <w:spacing w:line="480" w:lineRule="auto"/>
        <w:rPr>
          <w:sz w:val="20"/>
          <w:szCs w:val="20"/>
        </w:rPr>
      </w:pPr>
      <w:r w:rsidRPr="008B1B5B">
        <w:rPr>
          <w:b/>
          <w:bCs/>
          <w:sz w:val="20"/>
          <w:szCs w:val="20"/>
        </w:rPr>
        <w:t>Conclusions:</w:t>
      </w:r>
      <w:r w:rsidRPr="008B1B5B">
        <w:rPr>
          <w:sz w:val="20"/>
          <w:szCs w:val="20"/>
        </w:rPr>
        <w:t xml:space="preserve"> Despite methodological evolution toward automated approaches, significant heterogeneity and reliability gaps persist. The volume-visual function disconnect underscores the need for multimodal assessment. Standardized measurement protocols with established reliability benchmarks and prospective multicenter threshold validation</w:t>
      </w:r>
      <w:r w:rsidR="00785E2D">
        <w:rPr>
          <w:sz w:val="20"/>
          <w:szCs w:val="20"/>
        </w:rPr>
        <w:t xml:space="preserve"> </w:t>
      </w:r>
      <w:r w:rsidR="00785E2D" w:rsidRPr="00785E2D">
        <w:rPr>
          <w:sz w:val="20"/>
          <w:szCs w:val="20"/>
        </w:rPr>
        <w:t>(testing proposed cutoffs across independent institutions)</w:t>
      </w:r>
      <w:r w:rsidRPr="008B1B5B">
        <w:rPr>
          <w:sz w:val="20"/>
          <w:szCs w:val="20"/>
        </w:rPr>
        <w:t xml:space="preserve"> are needed.</w:t>
      </w:r>
    </w:p>
    <w:p w14:paraId="47F1A740" w14:textId="77777777" w:rsidR="00F26503" w:rsidRPr="008B1B5B" w:rsidRDefault="00000000" w:rsidP="004B385C">
      <w:pPr>
        <w:pStyle w:val="BodyText"/>
        <w:spacing w:line="480" w:lineRule="auto"/>
        <w:rPr>
          <w:sz w:val="20"/>
          <w:szCs w:val="20"/>
        </w:rPr>
      </w:pPr>
      <w:r w:rsidRPr="008B1B5B">
        <w:rPr>
          <w:b/>
          <w:bCs/>
          <w:sz w:val="20"/>
          <w:szCs w:val="20"/>
        </w:rPr>
        <w:t>Keywords:</w:t>
      </w:r>
      <w:r w:rsidRPr="008B1B5B">
        <w:rPr>
          <w:sz w:val="20"/>
          <w:szCs w:val="20"/>
        </w:rPr>
        <w:t xml:space="preserve"> Optic pathway glioma; volumetric measurement; segmentation; neurofibromatosis type 1; MRI; visual acuity; retinal nerve fiber layer; deep learning</w:t>
      </w:r>
    </w:p>
    <w:p w14:paraId="1CAA0A69" w14:textId="77777777" w:rsidR="00F26503" w:rsidRPr="008B1B5B" w:rsidRDefault="00000000" w:rsidP="004B385C">
      <w:pPr>
        <w:spacing w:line="480" w:lineRule="auto"/>
        <w:rPr>
          <w:sz w:val="20"/>
          <w:szCs w:val="20"/>
        </w:rPr>
      </w:pPr>
      <w:r>
        <w:rPr>
          <w:sz w:val="20"/>
          <w:szCs w:val="20"/>
        </w:rPr>
        <w:pict w14:anchorId="65E3FF38">
          <v:rect id="_x0000_i1027" style="width:0;height:1.5pt" o:hralign="center" o:hrstd="t" o:hr="t"/>
        </w:pict>
      </w:r>
    </w:p>
    <w:p w14:paraId="425E0E8C" w14:textId="77777777" w:rsidR="00F26503" w:rsidRPr="006E3604" w:rsidRDefault="00000000" w:rsidP="004B385C">
      <w:pPr>
        <w:pStyle w:val="Heading2"/>
        <w:spacing w:line="480" w:lineRule="auto"/>
        <w:rPr>
          <w:b/>
          <w:bCs/>
          <w:color w:val="auto"/>
          <w:sz w:val="20"/>
          <w:szCs w:val="20"/>
        </w:rPr>
      </w:pPr>
      <w:bookmarkStart w:id="3" w:name="introduction"/>
      <w:bookmarkEnd w:id="2"/>
      <w:r w:rsidRPr="006E3604">
        <w:rPr>
          <w:b/>
          <w:bCs/>
          <w:color w:val="auto"/>
          <w:sz w:val="20"/>
          <w:szCs w:val="20"/>
        </w:rPr>
        <w:lastRenderedPageBreak/>
        <w:t>Introduction</w:t>
      </w:r>
    </w:p>
    <w:p w14:paraId="2D60F7BD" w14:textId="77777777" w:rsidR="00F26503" w:rsidRPr="008B1B5B" w:rsidRDefault="00000000" w:rsidP="004B385C">
      <w:pPr>
        <w:pStyle w:val="FirstParagraph"/>
        <w:spacing w:line="480" w:lineRule="auto"/>
        <w:rPr>
          <w:sz w:val="20"/>
          <w:szCs w:val="20"/>
        </w:rPr>
      </w:pPr>
      <w:r w:rsidRPr="008B1B5B">
        <w:rPr>
          <w:sz w:val="20"/>
          <w:szCs w:val="20"/>
        </w:rPr>
        <w:t>Optic pathway gliomas (OPGs) are the most common central nervous system tumors in children with neurofibromatosis type 1 (NF1), occurring in 15–20% of affected individuals [1]. These low-grade tumors arise along the anterior visual pathway and represent a significant cause of preventable vision loss in childhood [1,2]. Unlike most pediatric brain tumors where survival is the primary endpoint, OPGs rarely threaten life; instead, preventing vision loss is the central management goal, making accurate assessment of tumor burden critical for clinical decision-making.</w:t>
      </w:r>
    </w:p>
    <w:p w14:paraId="7C0CD031" w14:textId="77777777" w:rsidR="00F26503" w:rsidRPr="008B1B5B" w:rsidRDefault="00000000" w:rsidP="004B385C">
      <w:pPr>
        <w:pStyle w:val="BodyText"/>
        <w:spacing w:line="480" w:lineRule="auto"/>
        <w:rPr>
          <w:sz w:val="20"/>
          <w:szCs w:val="20"/>
        </w:rPr>
      </w:pPr>
      <w:r w:rsidRPr="008B1B5B">
        <w:rPr>
          <w:sz w:val="20"/>
          <w:szCs w:val="20"/>
        </w:rPr>
        <w:t>Volumetric measurement of OPG has emerged as an important tool for surveillance and treatment response assessment, offering advantages over traditional linear measurements that may inadequately capture the irregular, infiltrative growth patterns characteristic of these tumors. The Response Assessment in Pediatric Neuro-Oncology (RAPNO) criteria continue to utilize two-dimensional measurements, yet studies have documented that over 50% of diffuse OPGs cannot be measured using standard methods [12], and 20% discordance exists between 2D and volumetric assessments [13].</w:t>
      </w:r>
    </w:p>
    <w:p w14:paraId="129BF365" w14:textId="77777777" w:rsidR="00F26503" w:rsidRPr="008B1B5B" w:rsidRDefault="00000000" w:rsidP="004B385C">
      <w:pPr>
        <w:pStyle w:val="BodyText"/>
        <w:spacing w:line="480" w:lineRule="auto"/>
        <w:rPr>
          <w:sz w:val="20"/>
          <w:szCs w:val="20"/>
        </w:rPr>
      </w:pPr>
      <w:r w:rsidRPr="008B1B5B">
        <w:rPr>
          <w:sz w:val="20"/>
          <w:szCs w:val="20"/>
        </w:rPr>
        <w:t>Despite increasing adoption of volumetric approaches, substantial methodological heterogeneity exists across studies, as detailed in this review. Methods range from simple ellipsoid approximation formulas to sophisticated deep learning-based automated segmentation. This heterogeneity limits cross-study comparison, complicates threshold interpretation, and hinders translation of volumetric biomarkers into clinical practice.</w:t>
      </w:r>
    </w:p>
    <w:p w14:paraId="03D52C75" w14:textId="77777777" w:rsidR="00F26503" w:rsidRPr="008B1B5B" w:rsidRDefault="00000000" w:rsidP="004B385C">
      <w:pPr>
        <w:pStyle w:val="BodyText"/>
        <w:spacing w:line="480" w:lineRule="auto"/>
        <w:rPr>
          <w:sz w:val="20"/>
          <w:szCs w:val="20"/>
        </w:rPr>
      </w:pPr>
      <w:r w:rsidRPr="008B1B5B">
        <w:rPr>
          <w:sz w:val="20"/>
          <w:szCs w:val="20"/>
        </w:rPr>
        <w:t>This scoping review aimed to comprehensively map the landscape of volumetric measurement methods for pediatric OPG and identify key knowledge gaps. Specific objectives were to: (1) characterize the range of methodological approaches; (2) identify software platforms and technical parameters; (3) assess reliability and reproducibility reporting; (4) synthesize proposed clinical thresholds; and (5) examine relationships between volumetric measures and clinical outcomes.</w:t>
      </w:r>
    </w:p>
    <w:p w14:paraId="241731EA" w14:textId="77777777" w:rsidR="00F26503" w:rsidRPr="008B1B5B" w:rsidRDefault="00000000" w:rsidP="004B385C">
      <w:pPr>
        <w:spacing w:line="480" w:lineRule="auto"/>
        <w:rPr>
          <w:sz w:val="20"/>
          <w:szCs w:val="20"/>
        </w:rPr>
      </w:pPr>
      <w:r>
        <w:rPr>
          <w:sz w:val="20"/>
          <w:szCs w:val="20"/>
        </w:rPr>
        <w:pict w14:anchorId="76C2FDE1">
          <v:rect id="_x0000_i1028" style="width:0;height:1.5pt" o:hralign="center" o:hrstd="t" o:hr="t"/>
        </w:pict>
      </w:r>
    </w:p>
    <w:p w14:paraId="28E29455" w14:textId="77777777" w:rsidR="00F26503" w:rsidRPr="006E3604" w:rsidRDefault="00000000" w:rsidP="004B385C">
      <w:pPr>
        <w:pStyle w:val="Heading2"/>
        <w:spacing w:line="480" w:lineRule="auto"/>
        <w:rPr>
          <w:b/>
          <w:bCs/>
          <w:color w:val="auto"/>
          <w:sz w:val="20"/>
          <w:szCs w:val="20"/>
        </w:rPr>
      </w:pPr>
      <w:bookmarkStart w:id="4" w:name="methods"/>
      <w:bookmarkEnd w:id="3"/>
      <w:r w:rsidRPr="006E3604">
        <w:rPr>
          <w:b/>
          <w:bCs/>
          <w:color w:val="auto"/>
          <w:sz w:val="20"/>
          <w:szCs w:val="20"/>
        </w:rPr>
        <w:lastRenderedPageBreak/>
        <w:t>Methods</w:t>
      </w:r>
    </w:p>
    <w:p w14:paraId="17614ECF" w14:textId="4C1AE510" w:rsidR="00F26503" w:rsidRPr="008B1B5B" w:rsidRDefault="00000000" w:rsidP="004B385C">
      <w:pPr>
        <w:pStyle w:val="FirstParagraph"/>
        <w:spacing w:line="480" w:lineRule="auto"/>
        <w:rPr>
          <w:sz w:val="20"/>
          <w:szCs w:val="20"/>
        </w:rPr>
      </w:pPr>
      <w:r w:rsidRPr="008B1B5B">
        <w:rPr>
          <w:sz w:val="20"/>
          <w:szCs w:val="20"/>
        </w:rPr>
        <w:t>This scoping review was conducted following the Joanna Briggs Institute methodology and reported according to PRISMA-ScR guidelines (Supplementary Material 3).</w:t>
      </w:r>
      <w:r w:rsidR="009D0B72" w:rsidRPr="008B1B5B">
        <w:rPr>
          <w:sz w:val="20"/>
          <w:szCs w:val="20"/>
        </w:rPr>
        <w:t xml:space="preserve"> This review was not prospectively registered, though the protocol was developed a priori following JBI methodology. The absence of registration limits verification of protocol adherence and a priori hypotheses.</w:t>
      </w:r>
    </w:p>
    <w:p w14:paraId="0B190B15" w14:textId="77777777" w:rsidR="00F26503" w:rsidRPr="006E3604" w:rsidRDefault="00000000" w:rsidP="004B385C">
      <w:pPr>
        <w:pStyle w:val="Heading3"/>
        <w:spacing w:line="480" w:lineRule="auto"/>
        <w:rPr>
          <w:b/>
          <w:bCs/>
          <w:color w:val="auto"/>
          <w:sz w:val="20"/>
          <w:szCs w:val="20"/>
        </w:rPr>
      </w:pPr>
      <w:bookmarkStart w:id="5" w:name="search-strategy"/>
      <w:r w:rsidRPr="006E3604">
        <w:rPr>
          <w:b/>
          <w:bCs/>
          <w:color w:val="auto"/>
          <w:sz w:val="20"/>
          <w:szCs w:val="20"/>
        </w:rPr>
        <w:t>Search Strategy</w:t>
      </w:r>
    </w:p>
    <w:p w14:paraId="5ACADABA" w14:textId="37647146" w:rsidR="00F26503" w:rsidRPr="008B1B5B" w:rsidRDefault="00000000" w:rsidP="004B385C">
      <w:pPr>
        <w:pStyle w:val="FirstParagraph"/>
        <w:spacing w:line="480" w:lineRule="auto"/>
        <w:rPr>
          <w:sz w:val="20"/>
          <w:szCs w:val="20"/>
        </w:rPr>
      </w:pPr>
      <w:r w:rsidRPr="008B1B5B">
        <w:rPr>
          <w:sz w:val="20"/>
          <w:szCs w:val="20"/>
        </w:rPr>
        <w:t xml:space="preserve">A comprehensive search was conducted across PubMed, Embase, Cochrane Library, and Web of Science from 2000 through January 2026. Search terms combined condition terms (“optic pathway glioma,” “optic nerve glioma,” “chiasmatic glioma”) with measurement terms (“volumetric,” “segmentation,” “three-dimensional”). English language filter was applied during database export for Embase; non-English publications were excluded at screening stage for other databases. </w:t>
      </w:r>
      <w:r w:rsidR="009D0B72" w:rsidRPr="008B1B5B">
        <w:rPr>
          <w:sz w:val="20"/>
          <w:szCs w:val="20"/>
        </w:rPr>
        <w:t>Grey literature and conference proceedings were not systematically searched; while some venues (e.g., MICCAI, EMBC) publish detailed methodology, we prioritized peer-reviewed sources with complete methods sections to ensure extraction accuracy. This approach may have excluded emerging deep learning methods first presented at conferences, potentially underrepresenting the current state of automated segmentation approaches</w:t>
      </w:r>
      <w:r w:rsidRPr="008B1B5B">
        <w:rPr>
          <w:sz w:val="20"/>
          <w:szCs w:val="20"/>
        </w:rPr>
        <w:t>.</w:t>
      </w:r>
      <w:r w:rsidR="00FF58C0" w:rsidRPr="008B1B5B">
        <w:rPr>
          <w:sz w:val="20"/>
          <w:szCs w:val="20"/>
        </w:rPr>
        <w:t xml:space="preserve"> </w:t>
      </w:r>
      <w:r w:rsidRPr="008B1B5B">
        <w:rPr>
          <w:sz w:val="20"/>
          <w:szCs w:val="20"/>
        </w:rPr>
        <w:t>Complete search strategies are provided in Supplementary Material 1.</w:t>
      </w:r>
    </w:p>
    <w:p w14:paraId="3335F0F5" w14:textId="77777777" w:rsidR="00F26503" w:rsidRPr="006E3604" w:rsidRDefault="00000000" w:rsidP="004B385C">
      <w:pPr>
        <w:pStyle w:val="Heading3"/>
        <w:spacing w:line="480" w:lineRule="auto"/>
        <w:rPr>
          <w:b/>
          <w:bCs/>
          <w:color w:val="auto"/>
          <w:sz w:val="20"/>
          <w:szCs w:val="20"/>
        </w:rPr>
      </w:pPr>
      <w:bookmarkStart w:id="6" w:name="eligibility-criteria"/>
      <w:bookmarkEnd w:id="5"/>
      <w:r w:rsidRPr="006E3604">
        <w:rPr>
          <w:b/>
          <w:bCs/>
          <w:color w:val="auto"/>
          <w:sz w:val="20"/>
          <w:szCs w:val="20"/>
        </w:rPr>
        <w:t>Eligibility Criteria</w:t>
      </w:r>
    </w:p>
    <w:p w14:paraId="3769A33F" w14:textId="5ED9E5AF" w:rsidR="00F26503" w:rsidRPr="008B1B5B" w:rsidRDefault="00000000" w:rsidP="004B385C">
      <w:pPr>
        <w:pStyle w:val="FirstParagraph"/>
        <w:spacing w:line="480" w:lineRule="auto"/>
        <w:rPr>
          <w:sz w:val="20"/>
          <w:szCs w:val="20"/>
        </w:rPr>
      </w:pPr>
      <w:r w:rsidRPr="008B1B5B">
        <w:rPr>
          <w:sz w:val="20"/>
          <w:szCs w:val="20"/>
        </w:rPr>
        <w:t xml:space="preserve">Studies were included if they: (1) included pediatric patients (0–18 years) with OPG; (2) described volumetric measurement methods including manual segmentation, semi-automated approaches, automated methods, or approximation formulas; and (3) reported on methodology, reliability, thresholds, or volume-outcome correlations. Studies were excluded if they used only linear measurements, were case reports (&lt;5 patients), or lacked </w:t>
      </w:r>
      <w:r w:rsidR="003529A2" w:rsidRPr="008B1B5B">
        <w:rPr>
          <w:sz w:val="20"/>
          <w:szCs w:val="20"/>
        </w:rPr>
        <w:t>sufficient</w:t>
      </w:r>
      <w:r w:rsidRPr="008B1B5B">
        <w:rPr>
          <w:sz w:val="20"/>
          <w:szCs w:val="20"/>
        </w:rPr>
        <w:t xml:space="preserve"> methodological detail. Conference abstracts were generally excluded unless they provided unique quantitative data (e.g., specific thresholds or discordance rates) not available in full peer-reviewed publications.</w:t>
      </w:r>
    </w:p>
    <w:p w14:paraId="6AA88339" w14:textId="77777777" w:rsidR="00F26503" w:rsidRPr="006E3604" w:rsidRDefault="00000000" w:rsidP="004B385C">
      <w:pPr>
        <w:pStyle w:val="Heading3"/>
        <w:spacing w:line="480" w:lineRule="auto"/>
        <w:rPr>
          <w:b/>
          <w:bCs/>
          <w:color w:val="auto"/>
          <w:sz w:val="20"/>
          <w:szCs w:val="20"/>
        </w:rPr>
      </w:pPr>
      <w:bookmarkStart w:id="7" w:name="study-selection-and-data-extraction"/>
      <w:bookmarkEnd w:id="6"/>
      <w:r w:rsidRPr="006E3604">
        <w:rPr>
          <w:b/>
          <w:bCs/>
          <w:color w:val="auto"/>
          <w:sz w:val="20"/>
          <w:szCs w:val="20"/>
        </w:rPr>
        <w:lastRenderedPageBreak/>
        <w:t>Study Selection and Data Extraction</w:t>
      </w:r>
    </w:p>
    <w:p w14:paraId="5DBF0BA7" w14:textId="064FD90D" w:rsidR="00F26503" w:rsidRPr="008B1B5B" w:rsidRDefault="00000000" w:rsidP="004B385C">
      <w:pPr>
        <w:pStyle w:val="FirstParagraph"/>
        <w:spacing w:line="480" w:lineRule="auto"/>
        <w:rPr>
          <w:sz w:val="20"/>
          <w:szCs w:val="20"/>
        </w:rPr>
      </w:pPr>
      <w:r w:rsidRPr="008B1B5B">
        <w:rPr>
          <w:sz w:val="20"/>
          <w:szCs w:val="20"/>
        </w:rPr>
        <w:t xml:space="preserve">Records were screened by title/abstract, followed by full-text review. Data extraction utilized a standardized form (Supplementary Material 2) pilot-tested on three articles, capturing study characteristics, population demographics, methodological details, reliability metrics, clinical thresholds, and outcome correlations. </w:t>
      </w:r>
      <w:r w:rsidR="009D0B72" w:rsidRPr="008B1B5B">
        <w:rPr>
          <w:sz w:val="20"/>
          <w:szCs w:val="20"/>
        </w:rPr>
        <w:t>Data extraction was performed by a single reviewer. To mitigate bias, verification procedures included mandatory page citations for all extracted data points, direct quotations for methodology descriptions, and independent re-verification of 100% of quantitative values (reliability metrics, thresholds, correlation coefficients) against source documents.</w:t>
      </w:r>
      <w:r w:rsidRPr="008B1B5B">
        <w:rPr>
          <w:sz w:val="20"/>
          <w:szCs w:val="20"/>
        </w:rPr>
        <w:t xml:space="preserve"> For borderline inclusion decisions, the eligibility criteria were re-applied using a structured checklist.</w:t>
      </w:r>
    </w:p>
    <w:p w14:paraId="052EFFBB" w14:textId="77777777" w:rsidR="00F26503" w:rsidRPr="006E3604" w:rsidRDefault="00000000" w:rsidP="004B385C">
      <w:pPr>
        <w:pStyle w:val="Heading3"/>
        <w:spacing w:line="480" w:lineRule="auto"/>
        <w:rPr>
          <w:b/>
          <w:bCs/>
          <w:color w:val="auto"/>
          <w:sz w:val="20"/>
          <w:szCs w:val="20"/>
        </w:rPr>
      </w:pPr>
      <w:bookmarkStart w:id="8" w:name="data-synthesis"/>
      <w:bookmarkEnd w:id="7"/>
      <w:r w:rsidRPr="006E3604">
        <w:rPr>
          <w:b/>
          <w:bCs/>
          <w:color w:val="auto"/>
          <w:sz w:val="20"/>
          <w:szCs w:val="20"/>
        </w:rPr>
        <w:t>Data Synthesis</w:t>
      </w:r>
    </w:p>
    <w:p w14:paraId="77155849" w14:textId="77777777" w:rsidR="00F26503" w:rsidRPr="008B1B5B" w:rsidRDefault="00000000" w:rsidP="004B385C">
      <w:pPr>
        <w:pStyle w:val="FirstParagraph"/>
        <w:spacing w:line="480" w:lineRule="auto"/>
        <w:rPr>
          <w:sz w:val="20"/>
          <w:szCs w:val="20"/>
        </w:rPr>
      </w:pPr>
      <w:r w:rsidRPr="008B1B5B">
        <w:rPr>
          <w:sz w:val="20"/>
          <w:szCs w:val="20"/>
        </w:rPr>
        <w:t>Given study heterogeneity, narrative synthesis was employed. Data were synthesized thematically according to: (1) evolution of volumetric methods; (2) software platforms (detailed in Supplementary Material 4); (3) reliability and reproducibility; (4) clinical thresholds; (5) volume-outcome correlations; and (6) contrast-free surveillance protocols.</w:t>
      </w:r>
    </w:p>
    <w:p w14:paraId="08E8E0EF" w14:textId="77777777" w:rsidR="00F26503" w:rsidRPr="008B1B5B" w:rsidRDefault="00000000" w:rsidP="004B385C">
      <w:pPr>
        <w:spacing w:line="480" w:lineRule="auto"/>
        <w:rPr>
          <w:sz w:val="20"/>
          <w:szCs w:val="20"/>
        </w:rPr>
      </w:pPr>
      <w:r>
        <w:rPr>
          <w:sz w:val="20"/>
          <w:szCs w:val="20"/>
        </w:rPr>
        <w:pict w14:anchorId="31928837">
          <v:rect id="_x0000_i1029" style="width:0;height:1.5pt" o:hralign="center" o:hrstd="t" o:hr="t"/>
        </w:pict>
      </w:r>
    </w:p>
    <w:p w14:paraId="6909E067" w14:textId="77777777" w:rsidR="00F26503" w:rsidRPr="006E3604" w:rsidRDefault="00000000" w:rsidP="004B385C">
      <w:pPr>
        <w:pStyle w:val="Heading2"/>
        <w:spacing w:line="480" w:lineRule="auto"/>
        <w:rPr>
          <w:b/>
          <w:bCs/>
          <w:color w:val="auto"/>
          <w:sz w:val="20"/>
          <w:szCs w:val="20"/>
        </w:rPr>
      </w:pPr>
      <w:bookmarkStart w:id="9" w:name="results"/>
      <w:bookmarkEnd w:id="4"/>
      <w:bookmarkEnd w:id="8"/>
      <w:r w:rsidRPr="006E3604">
        <w:rPr>
          <w:b/>
          <w:bCs/>
          <w:color w:val="auto"/>
          <w:sz w:val="20"/>
          <w:szCs w:val="20"/>
        </w:rPr>
        <w:t>Results</w:t>
      </w:r>
    </w:p>
    <w:p w14:paraId="3AF2B65F" w14:textId="77777777" w:rsidR="00F26503" w:rsidRPr="006E3604" w:rsidRDefault="00000000" w:rsidP="004B385C">
      <w:pPr>
        <w:pStyle w:val="Heading3"/>
        <w:spacing w:line="480" w:lineRule="auto"/>
        <w:rPr>
          <w:b/>
          <w:bCs/>
          <w:color w:val="auto"/>
          <w:sz w:val="20"/>
          <w:szCs w:val="20"/>
        </w:rPr>
      </w:pPr>
      <w:bookmarkStart w:id="10" w:name="study-selection"/>
      <w:r w:rsidRPr="006E3604">
        <w:rPr>
          <w:b/>
          <w:bCs/>
          <w:color w:val="auto"/>
          <w:sz w:val="20"/>
          <w:szCs w:val="20"/>
        </w:rPr>
        <w:t>Study Selection</w:t>
      </w:r>
    </w:p>
    <w:p w14:paraId="0C4B2405" w14:textId="77777777" w:rsidR="00F26503" w:rsidRPr="008B1B5B" w:rsidRDefault="00000000" w:rsidP="004B385C">
      <w:pPr>
        <w:pStyle w:val="FirstParagraph"/>
        <w:spacing w:line="480" w:lineRule="auto"/>
        <w:rPr>
          <w:sz w:val="20"/>
          <w:szCs w:val="20"/>
        </w:rPr>
      </w:pPr>
      <w:r w:rsidRPr="008B1B5B">
        <w:rPr>
          <w:sz w:val="20"/>
          <w:szCs w:val="20"/>
        </w:rPr>
        <w:t>Database searches identified 227 records (PubMed: 69, Embase: 79, Web of Science: 76, Cochrane: 3). After removing 131 duplicates, 96 records were screened and 61 excluded. Thirty-five full-text articles were assessed; 7 were excluded (conference abstracts: 3, textbook chapter: 1, duplicate: 1, insufficient methodology: 2). Twenty-eight studies met inclusion criteria (Figure 1).</w:t>
      </w:r>
    </w:p>
    <w:p w14:paraId="39B18E90" w14:textId="77777777" w:rsidR="00F26503" w:rsidRPr="00EC0489" w:rsidRDefault="00000000" w:rsidP="004B385C">
      <w:pPr>
        <w:pStyle w:val="Heading3"/>
        <w:spacing w:line="480" w:lineRule="auto"/>
        <w:rPr>
          <w:b/>
          <w:bCs/>
          <w:color w:val="auto"/>
          <w:sz w:val="20"/>
          <w:szCs w:val="20"/>
        </w:rPr>
      </w:pPr>
      <w:bookmarkStart w:id="11" w:name="study-characteristics"/>
      <w:bookmarkEnd w:id="10"/>
      <w:r w:rsidRPr="00EC0489">
        <w:rPr>
          <w:b/>
          <w:bCs/>
          <w:color w:val="auto"/>
          <w:sz w:val="20"/>
          <w:szCs w:val="20"/>
        </w:rPr>
        <w:lastRenderedPageBreak/>
        <w:t>Study Characteristics</w:t>
      </w:r>
    </w:p>
    <w:p w14:paraId="6BB6ED5F" w14:textId="77777777" w:rsidR="00F26503" w:rsidRPr="008B1B5B" w:rsidRDefault="00000000" w:rsidP="004B385C">
      <w:pPr>
        <w:pStyle w:val="FirstParagraph"/>
        <w:spacing w:line="480" w:lineRule="auto"/>
        <w:rPr>
          <w:sz w:val="20"/>
          <w:szCs w:val="20"/>
        </w:rPr>
      </w:pPr>
      <w:r w:rsidRPr="008B1B5B">
        <w:rPr>
          <w:sz w:val="20"/>
          <w:szCs w:val="20"/>
        </w:rPr>
        <w:t>Included studies were published between 2003 and 2025, with 68% (n=19) published after 2015. Geographic distribution included North America (50%), Europe (28%), Middle East (11%), Asia (7%), and South America (4%). Sample sizes ranged from 15 to 292 patients. Populations included NF1-associated OPG (29%), sporadic OPG (4%), and mixed (68%). MRI protocols varied across studies; most employed T1-weighted post-contrast sequences for volumetric analysis, though T2/FLAIR sequences were used in contrast-free surveillance protocols.</w:t>
      </w:r>
    </w:p>
    <w:p w14:paraId="63BD4527" w14:textId="77777777" w:rsidR="00F26503" w:rsidRPr="00EC0489" w:rsidRDefault="00000000" w:rsidP="004B385C">
      <w:pPr>
        <w:pStyle w:val="Heading3"/>
        <w:spacing w:line="480" w:lineRule="auto"/>
        <w:rPr>
          <w:b/>
          <w:bCs/>
          <w:color w:val="auto"/>
          <w:sz w:val="20"/>
          <w:szCs w:val="20"/>
        </w:rPr>
      </w:pPr>
      <w:bookmarkStart w:id="12" w:name="volumetric-measurement-methods"/>
      <w:bookmarkEnd w:id="11"/>
      <w:r w:rsidRPr="00EC0489">
        <w:rPr>
          <w:b/>
          <w:bCs/>
          <w:color w:val="auto"/>
          <w:sz w:val="20"/>
          <w:szCs w:val="20"/>
        </w:rPr>
        <w:t>Volumetric Measurement Methods</w:t>
      </w:r>
    </w:p>
    <w:p w14:paraId="6F12DBE1" w14:textId="77777777" w:rsidR="00F26503" w:rsidRPr="008B1B5B" w:rsidRDefault="00000000" w:rsidP="004B385C">
      <w:pPr>
        <w:pStyle w:val="FirstParagraph"/>
        <w:spacing w:line="480" w:lineRule="auto"/>
        <w:rPr>
          <w:sz w:val="20"/>
          <w:szCs w:val="20"/>
        </w:rPr>
      </w:pPr>
      <w:r w:rsidRPr="008B1B5B">
        <w:rPr>
          <w:sz w:val="20"/>
          <w:szCs w:val="20"/>
        </w:rPr>
        <w:t>Among 27 studies employing volumetric methods, four approaches were identified (Table 1):</w:t>
      </w:r>
    </w:p>
    <w:p w14:paraId="418A4A76" w14:textId="77777777" w:rsidR="00F26503" w:rsidRPr="008B1B5B" w:rsidRDefault="00000000" w:rsidP="004B385C">
      <w:pPr>
        <w:pStyle w:val="Compact"/>
        <w:numPr>
          <w:ilvl w:val="0"/>
          <w:numId w:val="2"/>
        </w:numPr>
        <w:spacing w:line="480" w:lineRule="auto"/>
        <w:rPr>
          <w:sz w:val="20"/>
          <w:szCs w:val="20"/>
        </w:rPr>
      </w:pPr>
      <w:r w:rsidRPr="00EC0489">
        <w:rPr>
          <w:b/>
          <w:bCs/>
          <w:sz w:val="20"/>
          <w:szCs w:val="20"/>
        </w:rPr>
        <w:t>Manual segmentation</w:t>
      </w:r>
      <w:r w:rsidRPr="008B1B5B">
        <w:rPr>
          <w:sz w:val="20"/>
          <w:szCs w:val="20"/>
        </w:rPr>
        <w:t xml:space="preserve"> (n=12, 44%): Slice-by-slice delineation using open-source platforms (3D Slicer, ITK-SNAP, Horos, FSL) or commercial software (BrainLab, Analyze)</w:t>
      </w:r>
    </w:p>
    <w:p w14:paraId="7157774B"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Semi-automated methods</w:t>
      </w:r>
      <w:r w:rsidRPr="008B1B5B">
        <w:rPr>
          <w:sz w:val="20"/>
          <w:szCs w:val="20"/>
        </w:rPr>
        <w:t xml:space="preserve"> (n=9, 33%): Hybrid approaches combining automated algorithms with manual refinement</w:t>
      </w:r>
    </w:p>
    <w:p w14:paraId="43885DB3"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Fully automated methods</w:t>
      </w:r>
      <w:r w:rsidRPr="008B1B5B">
        <w:rPr>
          <w:sz w:val="20"/>
          <w:szCs w:val="20"/>
        </w:rPr>
        <w:t xml:space="preserve"> (n=2, 7%): Deep learning architectures (nnU-Net, SwinUNETR)</w:t>
      </w:r>
    </w:p>
    <w:p w14:paraId="617F73C4"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Approximation formulas</w:t>
      </w:r>
      <w:r w:rsidRPr="008B1B5B">
        <w:rPr>
          <w:sz w:val="20"/>
          <w:szCs w:val="20"/>
        </w:rPr>
        <w:t xml:space="preserve"> (n=4, 15%): Ellipsoid calculations (ABC/2 method)</w:t>
      </w:r>
    </w:p>
    <w:p w14:paraId="71891AF0" w14:textId="77777777" w:rsidR="00F26503" w:rsidRPr="008B1B5B" w:rsidRDefault="00000000" w:rsidP="004B385C">
      <w:pPr>
        <w:pStyle w:val="FirstParagraph"/>
        <w:spacing w:line="480" w:lineRule="auto"/>
        <w:rPr>
          <w:sz w:val="20"/>
          <w:szCs w:val="20"/>
        </w:rPr>
      </w:pPr>
      <w:r w:rsidRPr="008B1B5B">
        <w:rPr>
          <w:sz w:val="20"/>
          <w:szCs w:val="20"/>
        </w:rPr>
        <w:t>One additional study used exclusively 2D measurements and was retained for comparative analysis.</w:t>
      </w:r>
    </w:p>
    <w:p w14:paraId="33DB693E" w14:textId="77777777" w:rsidR="00F26503" w:rsidRPr="008B1B5B" w:rsidRDefault="00000000" w:rsidP="004B385C">
      <w:pPr>
        <w:pStyle w:val="BodyText"/>
        <w:spacing w:line="480" w:lineRule="auto"/>
        <w:rPr>
          <w:sz w:val="20"/>
          <w:szCs w:val="20"/>
        </w:rPr>
      </w:pPr>
      <w:r w:rsidRPr="008B1B5B">
        <w:rPr>
          <w:sz w:val="20"/>
          <w:szCs w:val="20"/>
        </w:rPr>
        <w:t>Methodological approaches evolved over time (Table 1): approximation methods predominated 2008–2013, semi-automated approaches emerged 2014–2018, and the two deep learning studies appeared 2022–2023.</w:t>
      </w:r>
    </w:p>
    <w:p w14:paraId="03613356" w14:textId="77777777" w:rsidR="00F26503" w:rsidRPr="000E3423" w:rsidRDefault="00000000" w:rsidP="004B385C">
      <w:pPr>
        <w:pStyle w:val="Heading3"/>
        <w:spacing w:line="480" w:lineRule="auto"/>
        <w:rPr>
          <w:b/>
          <w:bCs/>
          <w:color w:val="auto"/>
          <w:sz w:val="20"/>
          <w:szCs w:val="20"/>
        </w:rPr>
      </w:pPr>
      <w:bookmarkStart w:id="13" w:name="reliability-reporting"/>
      <w:bookmarkEnd w:id="12"/>
      <w:r w:rsidRPr="000E3423">
        <w:rPr>
          <w:b/>
          <w:bCs/>
          <w:color w:val="auto"/>
          <w:sz w:val="20"/>
          <w:szCs w:val="20"/>
        </w:rPr>
        <w:t>Reliability Reporting</w:t>
      </w:r>
    </w:p>
    <w:p w14:paraId="42FB2C7B" w14:textId="1BF8ECF2" w:rsidR="00F26503" w:rsidRPr="008B1B5B" w:rsidRDefault="00000000" w:rsidP="004B385C">
      <w:pPr>
        <w:pStyle w:val="FirstParagraph"/>
        <w:spacing w:line="480" w:lineRule="auto"/>
        <w:rPr>
          <w:sz w:val="20"/>
          <w:szCs w:val="20"/>
        </w:rPr>
      </w:pPr>
      <w:r w:rsidRPr="008B1B5B">
        <w:rPr>
          <w:sz w:val="20"/>
          <w:szCs w:val="20"/>
        </w:rPr>
        <w:t xml:space="preserve">Only 5 of 28 studies (18%) reported inter-rater reliability (Table 2). Reported metrics included: ICC 0.96 [10], Kappa 0.87 [24], Kappa 0.47–0.69 [23], Kappa 0.56–1.0 post-standardization [21], and ICC 0.998–1.000 for </w:t>
      </w:r>
      <w:r w:rsidR="002C78CC" w:rsidRPr="008B1B5B">
        <w:rPr>
          <w:sz w:val="20"/>
          <w:szCs w:val="20"/>
        </w:rPr>
        <w:t>apparent diffusion coefficient (</w:t>
      </w:r>
      <w:r w:rsidRPr="008B1B5B">
        <w:rPr>
          <w:sz w:val="20"/>
          <w:szCs w:val="20"/>
        </w:rPr>
        <w:t>ADC</w:t>
      </w:r>
      <w:r w:rsidR="002C78CC" w:rsidRPr="008B1B5B">
        <w:rPr>
          <w:sz w:val="20"/>
          <w:szCs w:val="20"/>
        </w:rPr>
        <w:t>)</w:t>
      </w:r>
      <w:r w:rsidRPr="008B1B5B">
        <w:rPr>
          <w:sz w:val="20"/>
          <w:szCs w:val="20"/>
        </w:rPr>
        <w:t xml:space="preserve"> measurements [29]. Notably, Lambron et al. [21] demonstrated improvement across multiple tumor characteristics from unacceptable pre-standardization reliability (Kappa </w:t>
      </w:r>
      <w:r w:rsidRPr="008B1B5B">
        <w:rPr>
          <w:sz w:val="20"/>
          <w:szCs w:val="20"/>
        </w:rPr>
        <w:lastRenderedPageBreak/>
        <w:t>ranging from 0.11 to 1.0 depending on feature assessed) to acceptable post-standardization reliability (Kappa 0.56–1.0) following protocol implementation.</w:t>
      </w:r>
    </w:p>
    <w:p w14:paraId="38E6340A" w14:textId="77777777" w:rsidR="00F26503" w:rsidRPr="000E3423" w:rsidRDefault="00000000" w:rsidP="004B385C">
      <w:pPr>
        <w:pStyle w:val="Heading3"/>
        <w:spacing w:line="480" w:lineRule="auto"/>
        <w:rPr>
          <w:b/>
          <w:bCs/>
          <w:color w:val="auto"/>
          <w:sz w:val="20"/>
          <w:szCs w:val="20"/>
        </w:rPr>
      </w:pPr>
      <w:bookmarkStart w:id="14" w:name="clinical-thresholds"/>
      <w:bookmarkEnd w:id="13"/>
      <w:r w:rsidRPr="000E3423">
        <w:rPr>
          <w:b/>
          <w:bCs/>
          <w:color w:val="auto"/>
          <w:sz w:val="20"/>
          <w:szCs w:val="20"/>
        </w:rPr>
        <w:t>Clinical Thresholds</w:t>
      </w:r>
    </w:p>
    <w:p w14:paraId="726736CD" w14:textId="77777777" w:rsidR="00F26503" w:rsidRPr="008B1B5B" w:rsidRDefault="00000000" w:rsidP="004B385C">
      <w:pPr>
        <w:pStyle w:val="FirstParagraph"/>
        <w:spacing w:line="480" w:lineRule="auto"/>
        <w:rPr>
          <w:sz w:val="20"/>
          <w:szCs w:val="20"/>
        </w:rPr>
      </w:pPr>
      <w:r w:rsidRPr="008B1B5B">
        <w:rPr>
          <w:sz w:val="20"/>
          <w:szCs w:val="20"/>
        </w:rPr>
        <w:t>Multiple thresholds were proposed (Table 3):</w:t>
      </w:r>
    </w:p>
    <w:p w14:paraId="7CAE4823"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Anterior visual pathway (AVP) &gt;1.75 mL:</w:t>
      </w:r>
      <w:r w:rsidRPr="008B1B5B">
        <w:rPr>
          <w:sz w:val="20"/>
          <w:szCs w:val="20"/>
        </w:rPr>
        <w:t xml:space="preserve"> Visual acuity loss detection (sensitivity 87%, specificity 90%; validated across 2 institutions using different MRI platforms) [7,8]</w:t>
      </w:r>
    </w:p>
    <w:p w14:paraId="451255AF"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AVP &gt;3.0 mL:</w:t>
      </w:r>
      <w:r w:rsidRPr="008B1B5B">
        <w:rPr>
          <w:sz w:val="20"/>
          <w:szCs w:val="20"/>
        </w:rPr>
        <w:t xml:space="preserve"> Abnormal RNFL prediction (PPV 87%) [4]</w:t>
      </w:r>
    </w:p>
    <w:p w14:paraId="6B6DF4DC"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Chiasm &gt;1.3 mL:</w:t>
      </w:r>
      <w:r w:rsidRPr="008B1B5B">
        <w:rPr>
          <w:sz w:val="20"/>
          <w:szCs w:val="20"/>
        </w:rPr>
        <w:t xml:space="preserve"> Abnormal RNFL prediction (PPV 100%) [4]</w:t>
      </w:r>
    </w:p>
    <w:p w14:paraId="74579767"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Tumor growth velocity (TGV) &gt;0.1 cm³/month:</w:t>
      </w:r>
      <w:r w:rsidRPr="008B1B5B">
        <w:rPr>
          <w:sz w:val="20"/>
          <w:szCs w:val="20"/>
        </w:rPr>
        <w:t xml:space="preserve"> Visual acuity deterioration (AUC 0.81) [16]</w:t>
      </w:r>
    </w:p>
    <w:p w14:paraId="5F583171"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Volume &gt;4.0 cm³:</w:t>
      </w:r>
      <w:r w:rsidRPr="008B1B5B">
        <w:rPr>
          <w:sz w:val="20"/>
          <w:szCs w:val="20"/>
        </w:rPr>
        <w:t xml:space="preserve"> Impaired VA at diagnosis (AUC 0.78) [16]</w:t>
      </w:r>
    </w:p>
    <w:p w14:paraId="556DB2F6"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Volume &gt;11.1 cm³:</w:t>
      </w:r>
      <w:r w:rsidRPr="008B1B5B">
        <w:rPr>
          <w:sz w:val="20"/>
          <w:szCs w:val="20"/>
        </w:rPr>
        <w:t xml:space="preserve"> Visual acuity decrease prediction (AUC 0.76) [16]</w:t>
      </w:r>
    </w:p>
    <w:p w14:paraId="6C776B52" w14:textId="77777777" w:rsidR="00F26503" w:rsidRPr="000E3423" w:rsidRDefault="00000000" w:rsidP="004B385C">
      <w:pPr>
        <w:pStyle w:val="Heading3"/>
        <w:spacing w:line="480" w:lineRule="auto"/>
        <w:rPr>
          <w:b/>
          <w:bCs/>
          <w:color w:val="auto"/>
          <w:sz w:val="20"/>
          <w:szCs w:val="20"/>
        </w:rPr>
      </w:pPr>
      <w:bookmarkStart w:id="15" w:name="volume-outcome-correlations"/>
      <w:bookmarkEnd w:id="14"/>
      <w:r w:rsidRPr="000E3423">
        <w:rPr>
          <w:b/>
          <w:bCs/>
          <w:color w:val="auto"/>
          <w:sz w:val="20"/>
          <w:szCs w:val="20"/>
        </w:rPr>
        <w:t>Volume-Outcome Correlations</w:t>
      </w:r>
    </w:p>
    <w:p w14:paraId="3C5D0E78" w14:textId="77777777" w:rsidR="00F26503" w:rsidRPr="008B1B5B" w:rsidRDefault="00000000" w:rsidP="004B385C">
      <w:pPr>
        <w:pStyle w:val="FirstParagraph"/>
        <w:spacing w:line="480" w:lineRule="auto"/>
        <w:rPr>
          <w:sz w:val="20"/>
          <w:szCs w:val="20"/>
        </w:rPr>
      </w:pPr>
      <w:r w:rsidRPr="008B1B5B">
        <w:rPr>
          <w:b/>
          <w:bCs/>
          <w:sz w:val="20"/>
          <w:szCs w:val="20"/>
        </w:rPr>
        <w:t>Volume-RNFL:</w:t>
      </w:r>
      <w:r w:rsidRPr="008B1B5B">
        <w:rPr>
          <w:sz w:val="20"/>
          <w:szCs w:val="20"/>
        </w:rPr>
        <w:t xml:space="preserve"> Strong inverse correlations were consistently demonstrated: rs = -0.939 [9], -5.34 μm per 1 mL AVP increase [7].</w:t>
      </w:r>
    </w:p>
    <w:p w14:paraId="5900D7CD" w14:textId="77777777" w:rsidR="00F26503" w:rsidRPr="008B1B5B" w:rsidRDefault="00000000" w:rsidP="004B385C">
      <w:pPr>
        <w:pStyle w:val="BodyText"/>
        <w:spacing w:line="480" w:lineRule="auto"/>
        <w:rPr>
          <w:sz w:val="20"/>
          <w:szCs w:val="20"/>
        </w:rPr>
      </w:pPr>
      <w:r w:rsidRPr="008B1B5B">
        <w:rPr>
          <w:b/>
          <w:bCs/>
          <w:sz w:val="20"/>
          <w:szCs w:val="20"/>
        </w:rPr>
        <w:t>Volume-Visual Acuity:</w:t>
      </w:r>
      <w:r w:rsidRPr="008B1B5B">
        <w:rPr>
          <w:sz w:val="20"/>
          <w:szCs w:val="20"/>
        </w:rPr>
        <w:t xml:space="preserve"> In contrast, volume-VA correlations were weak or absent: r = 0.0 between volume change and VA change [18], rs = 0.065 (p = 0.809) for volume-VA correlation [9]. This finding was replicated across multiple independent studies.</w:t>
      </w:r>
    </w:p>
    <w:p w14:paraId="1063B4E2" w14:textId="77777777" w:rsidR="00F26503" w:rsidRPr="008B1B5B" w:rsidRDefault="00000000" w:rsidP="004B385C">
      <w:pPr>
        <w:pStyle w:val="BodyText"/>
        <w:spacing w:line="480" w:lineRule="auto"/>
        <w:rPr>
          <w:sz w:val="20"/>
          <w:szCs w:val="20"/>
        </w:rPr>
      </w:pPr>
      <w:r w:rsidRPr="008B1B5B">
        <w:rPr>
          <w:b/>
          <w:bCs/>
          <w:sz w:val="20"/>
          <w:szCs w:val="20"/>
        </w:rPr>
        <w:t>NF1 Status Effects:</w:t>
      </w:r>
      <w:r w:rsidRPr="008B1B5B">
        <w:rPr>
          <w:sz w:val="20"/>
          <w:szCs w:val="20"/>
        </w:rPr>
        <w:t xml:space="preserve"> The relationship between volume and outcomes differed by NF1 status. Gorodezki et al. [16] found tumor growth velocity correlated more strongly with visual outcomes in sporadic OPG than NF1-associated tumors. Kilian et al. [20] demonstrated that optic nerve width was a better predictor than total tumor volume specifically in NF1-associated OPG, suggesting component-specific measurement may be particularly important in this population.</w:t>
      </w:r>
    </w:p>
    <w:p w14:paraId="5C1EFAAC" w14:textId="77777777" w:rsidR="00F26503" w:rsidRPr="000E3423" w:rsidRDefault="00000000" w:rsidP="004B385C">
      <w:pPr>
        <w:pStyle w:val="Heading3"/>
        <w:spacing w:line="480" w:lineRule="auto"/>
        <w:rPr>
          <w:b/>
          <w:bCs/>
          <w:color w:val="auto"/>
          <w:sz w:val="20"/>
          <w:szCs w:val="20"/>
        </w:rPr>
      </w:pPr>
      <w:bookmarkStart w:id="16" w:name="contrast-free-surveillance"/>
      <w:bookmarkEnd w:id="15"/>
      <w:r w:rsidRPr="000E3423">
        <w:rPr>
          <w:b/>
          <w:bCs/>
          <w:color w:val="auto"/>
          <w:sz w:val="20"/>
          <w:szCs w:val="20"/>
        </w:rPr>
        <w:lastRenderedPageBreak/>
        <w:t>Contrast-Free Surveillance</w:t>
      </w:r>
    </w:p>
    <w:p w14:paraId="2B8377A5" w14:textId="77777777" w:rsidR="00F26503" w:rsidRPr="008B1B5B" w:rsidRDefault="00000000" w:rsidP="004B385C">
      <w:pPr>
        <w:pStyle w:val="FirstParagraph"/>
        <w:spacing w:line="480" w:lineRule="auto"/>
        <w:rPr>
          <w:sz w:val="20"/>
          <w:szCs w:val="20"/>
        </w:rPr>
      </w:pPr>
      <w:r w:rsidRPr="008B1B5B">
        <w:rPr>
          <w:sz w:val="20"/>
          <w:szCs w:val="20"/>
        </w:rPr>
        <w:t>Two studies supported gadolinium-free surveillance: Maloney et al. [23] demonstrated non-inferiority of non-contrast MRI, and Marsault et al. [24] reported 84–88% sensitivity and 91–100% specificity for T2-based progression detection.</w:t>
      </w:r>
    </w:p>
    <w:p w14:paraId="6D91C2A4" w14:textId="77777777" w:rsidR="00F26503" w:rsidRPr="008B1B5B" w:rsidRDefault="00000000" w:rsidP="004B385C">
      <w:pPr>
        <w:spacing w:line="480" w:lineRule="auto"/>
        <w:rPr>
          <w:sz w:val="20"/>
          <w:szCs w:val="20"/>
        </w:rPr>
      </w:pPr>
      <w:r>
        <w:rPr>
          <w:sz w:val="20"/>
          <w:szCs w:val="20"/>
        </w:rPr>
        <w:pict w14:anchorId="5D8079F9">
          <v:rect id="_x0000_i1030" style="width:0;height:1.5pt" o:hralign="center" o:hrstd="t" o:hr="t"/>
        </w:pict>
      </w:r>
    </w:p>
    <w:p w14:paraId="0BE4F548" w14:textId="77777777" w:rsidR="00F26503" w:rsidRPr="000E3423" w:rsidRDefault="00000000" w:rsidP="004B385C">
      <w:pPr>
        <w:pStyle w:val="Heading2"/>
        <w:spacing w:line="480" w:lineRule="auto"/>
        <w:rPr>
          <w:b/>
          <w:bCs/>
          <w:color w:val="auto"/>
          <w:sz w:val="20"/>
          <w:szCs w:val="20"/>
        </w:rPr>
      </w:pPr>
      <w:bookmarkStart w:id="17" w:name="discussion"/>
      <w:bookmarkEnd w:id="9"/>
      <w:bookmarkEnd w:id="16"/>
      <w:r w:rsidRPr="000E3423">
        <w:rPr>
          <w:b/>
          <w:bCs/>
          <w:color w:val="auto"/>
          <w:sz w:val="20"/>
          <w:szCs w:val="20"/>
        </w:rPr>
        <w:t>Discussion</w:t>
      </w:r>
    </w:p>
    <w:p w14:paraId="69A28D9E" w14:textId="77777777" w:rsidR="00F26503" w:rsidRPr="008B1B5B" w:rsidRDefault="00000000" w:rsidP="004B385C">
      <w:pPr>
        <w:pStyle w:val="FirstParagraph"/>
        <w:spacing w:line="480" w:lineRule="auto"/>
        <w:rPr>
          <w:sz w:val="20"/>
          <w:szCs w:val="20"/>
        </w:rPr>
      </w:pPr>
      <w:r w:rsidRPr="008B1B5B">
        <w:rPr>
          <w:sz w:val="20"/>
          <w:szCs w:val="20"/>
        </w:rPr>
        <w:t>This scoping review mapped volumetric measurement methods for pediatric OPG across 28 studies, revealing significant methodological heterogeneity, critical gaps in reliability reporting, and a complex volume-visual function relationship that challenges conventional assumptions.</w:t>
      </w:r>
    </w:p>
    <w:p w14:paraId="1C1FC4A9" w14:textId="397400A2" w:rsidR="00F26503" w:rsidRPr="000E3423" w:rsidRDefault="00000000" w:rsidP="004B385C">
      <w:pPr>
        <w:pStyle w:val="Heading3"/>
        <w:spacing w:line="480" w:lineRule="auto"/>
        <w:rPr>
          <w:b/>
          <w:bCs/>
          <w:color w:val="auto"/>
          <w:sz w:val="20"/>
          <w:szCs w:val="20"/>
        </w:rPr>
      </w:pPr>
      <w:bookmarkStart w:id="18" w:name="methodological-evolution"/>
      <w:r w:rsidRPr="000E3423">
        <w:rPr>
          <w:b/>
          <w:bCs/>
          <w:color w:val="auto"/>
          <w:sz w:val="20"/>
          <w:szCs w:val="20"/>
        </w:rPr>
        <w:t>Methodological Evolution</w:t>
      </w:r>
      <w:r w:rsidR="009D0B72" w:rsidRPr="000E3423">
        <w:rPr>
          <w:b/>
          <w:bCs/>
          <w:color w:val="auto"/>
          <w:sz w:val="20"/>
          <w:szCs w:val="20"/>
        </w:rPr>
        <w:t xml:space="preserve"> </w:t>
      </w:r>
    </w:p>
    <w:p w14:paraId="09C84E35" w14:textId="69874F5D" w:rsidR="00F26503" w:rsidRPr="008B1B5B" w:rsidRDefault="00000000" w:rsidP="004B385C">
      <w:pPr>
        <w:pStyle w:val="FirstParagraph"/>
        <w:spacing w:line="480" w:lineRule="auto"/>
        <w:rPr>
          <w:sz w:val="20"/>
          <w:szCs w:val="20"/>
        </w:rPr>
      </w:pPr>
      <w:r w:rsidRPr="008B1B5B">
        <w:rPr>
          <w:sz w:val="20"/>
          <w:szCs w:val="20"/>
        </w:rPr>
        <w:t xml:space="preserve">The transition from approximation formulas to automated deep learning represents substantial progress. Deep learning approaches (nnU-Net, SwinUNETR) achieve performance comparable to human inter-observer agreement (DSC 0.791±0.075 vs. 0.75±0.06 for human raters; </w:t>
      </w:r>
      <w:r w:rsidR="002C78CC" w:rsidRPr="008B1B5B">
        <w:rPr>
          <w:sz w:val="20"/>
          <w:szCs w:val="20"/>
        </w:rPr>
        <w:t>overlapping standard deviations suggest comparable performance</w:t>
      </w:r>
      <w:r w:rsidR="00075ACE" w:rsidRPr="008B1B5B">
        <w:rPr>
          <w:sz w:val="20"/>
          <w:szCs w:val="20"/>
        </w:rPr>
        <w:t>)</w:t>
      </w:r>
      <w:r w:rsidR="002C78CC" w:rsidRPr="008B1B5B">
        <w:rPr>
          <w:sz w:val="20"/>
          <w:szCs w:val="20"/>
        </w:rPr>
        <w:t xml:space="preserve"> </w:t>
      </w:r>
      <w:r w:rsidRPr="008B1B5B">
        <w:rPr>
          <w:sz w:val="20"/>
          <w:szCs w:val="20"/>
        </w:rPr>
        <w:t>[17]. However, these results derive from internal validation on a single dataset (n=75); external validation across institutions and imaging protocols remains lacking. Clinical adoption faces additional barriers including limited pediatric training data, lack of prospective validation, and the “algorithm versioning” challenge—reproducibility applies only within a given algorithm version, complicating longitudinal comparisons when models are updated.</w:t>
      </w:r>
    </w:p>
    <w:p w14:paraId="646CED51" w14:textId="77777777" w:rsidR="00F26503" w:rsidRPr="000E3423" w:rsidRDefault="00000000" w:rsidP="004B385C">
      <w:pPr>
        <w:pStyle w:val="Heading3"/>
        <w:spacing w:line="480" w:lineRule="auto"/>
        <w:rPr>
          <w:b/>
          <w:bCs/>
          <w:color w:val="auto"/>
          <w:sz w:val="20"/>
          <w:szCs w:val="20"/>
        </w:rPr>
      </w:pPr>
      <w:bookmarkStart w:id="19" w:name="the-reliability-gap"/>
      <w:bookmarkEnd w:id="18"/>
      <w:r w:rsidRPr="000E3423">
        <w:rPr>
          <w:b/>
          <w:bCs/>
          <w:color w:val="auto"/>
          <w:sz w:val="20"/>
          <w:szCs w:val="20"/>
        </w:rPr>
        <w:t>The Reliability Gap</w:t>
      </w:r>
    </w:p>
    <w:p w14:paraId="41D920C1" w14:textId="7BED1549" w:rsidR="00F26503" w:rsidRPr="008B1B5B" w:rsidRDefault="00000000" w:rsidP="004B385C">
      <w:pPr>
        <w:pStyle w:val="FirstParagraph"/>
        <w:spacing w:line="480" w:lineRule="auto"/>
        <w:rPr>
          <w:sz w:val="20"/>
          <w:szCs w:val="20"/>
        </w:rPr>
      </w:pPr>
      <w:r w:rsidRPr="008B1B5B">
        <w:rPr>
          <w:sz w:val="20"/>
          <w:szCs w:val="20"/>
        </w:rPr>
        <w:t xml:space="preserve">The finding that only 18% of studies reported reliability metrics is concerning. Without established benchmarks, clinicians cannot assess whether observed volume changes represent true progression or measurement variability. Lambron et al. [21] demonstrated that a standardized interpretation protocol—including defined radioanatomical landmarks, consistent measurement procedures, and training </w:t>
      </w:r>
      <w:r w:rsidRPr="008B1B5B">
        <w:rPr>
          <w:sz w:val="20"/>
          <w:szCs w:val="20"/>
        </w:rPr>
        <w:lastRenderedPageBreak/>
        <w:t xml:space="preserve">requirements—substantially </w:t>
      </w:r>
      <w:r w:rsidR="00856587" w:rsidRPr="008B1B5B">
        <w:rPr>
          <w:sz w:val="20"/>
          <w:szCs w:val="20"/>
        </w:rPr>
        <w:t>improve</w:t>
      </w:r>
      <w:r w:rsidR="00105B94">
        <w:rPr>
          <w:sz w:val="20"/>
          <w:szCs w:val="20"/>
        </w:rPr>
        <w:t>s</w:t>
      </w:r>
      <w:r w:rsidRPr="008B1B5B">
        <w:rPr>
          <w:sz w:val="20"/>
          <w:szCs w:val="20"/>
        </w:rPr>
        <w:t xml:space="preserve"> reliability, underscoring that acceptable reproducibility is achievable with appropriate protocols.</w:t>
      </w:r>
    </w:p>
    <w:p w14:paraId="41CA6E45" w14:textId="77777777" w:rsidR="00F26503" w:rsidRPr="000E3423" w:rsidRDefault="00000000" w:rsidP="004B385C">
      <w:pPr>
        <w:pStyle w:val="Heading3"/>
        <w:spacing w:line="480" w:lineRule="auto"/>
        <w:rPr>
          <w:b/>
          <w:bCs/>
          <w:color w:val="auto"/>
          <w:sz w:val="20"/>
          <w:szCs w:val="20"/>
        </w:rPr>
      </w:pPr>
      <w:bookmarkStart w:id="20" w:name="the-volume-visual-function-dissociation"/>
      <w:bookmarkEnd w:id="19"/>
      <w:r w:rsidRPr="000E3423">
        <w:rPr>
          <w:b/>
          <w:bCs/>
          <w:color w:val="auto"/>
          <w:sz w:val="20"/>
          <w:szCs w:val="20"/>
        </w:rPr>
        <w:t>The Volume-Visual Function Dissociation</w:t>
      </w:r>
    </w:p>
    <w:p w14:paraId="0DF524F6" w14:textId="3F096674" w:rsidR="00F26503" w:rsidRPr="008B1B5B" w:rsidRDefault="009D0B72" w:rsidP="004B385C">
      <w:pPr>
        <w:pStyle w:val="FirstParagraph"/>
        <w:spacing w:line="480" w:lineRule="auto"/>
        <w:rPr>
          <w:sz w:val="20"/>
          <w:szCs w:val="20"/>
        </w:rPr>
      </w:pPr>
      <w:r w:rsidRPr="008B1B5B">
        <w:rPr>
          <w:sz w:val="20"/>
          <w:szCs w:val="20"/>
        </w:rPr>
        <w:t>Tumor volume correlates strongly with RNFL thickness (rs = -0.939, n=17 [9]), but correlations with visual acuity were weak or non-significant across multiple studies (r = 0.0, n=42 [18]; rs = 0.065, p = 0.809, n=17 [9]). While these findings derive from different study populations—limiting direct comparison—the pattern was consistent across multiple independent cohorts. This dissociation challenges the implicit clinical assumption that tumor shrinkage should translate to visual improvement, an expectation that underlies volumetric response criteria. Kelly et al. [18] directly tested this in 42 patients: tumor shrinkage following treatment showed no significant correlation with visual improvement (r = 0.0, p = 0.5). Several factors may explain this pattern: visual acuity primarily reflects foveal function while RNFL measures global retinal ganglion cell integrity; measurement variability in pediatric visual acuity testing introduces noise</w:t>
      </w:r>
      <w:r w:rsidR="009A1C24">
        <w:rPr>
          <w:sz w:val="20"/>
          <w:szCs w:val="20"/>
        </w:rPr>
        <w:t xml:space="preserve"> [6]</w:t>
      </w:r>
      <w:r w:rsidRPr="008B1B5B">
        <w:rPr>
          <w:sz w:val="20"/>
          <w:szCs w:val="20"/>
        </w:rPr>
        <w:t>; and the relationship between structural damage and functional impairment may be non-linear, with recovery thresholds that are not predictable from volume change alone.</w:t>
      </w:r>
    </w:p>
    <w:p w14:paraId="7C96A670" w14:textId="7D8C3C4E" w:rsidR="003F0286" w:rsidRPr="000E3423" w:rsidRDefault="003F0286" w:rsidP="004B385C">
      <w:pPr>
        <w:pStyle w:val="Heading3"/>
        <w:spacing w:line="480" w:lineRule="auto"/>
        <w:rPr>
          <w:b/>
          <w:bCs/>
          <w:color w:val="auto"/>
          <w:sz w:val="20"/>
          <w:szCs w:val="20"/>
        </w:rPr>
      </w:pPr>
      <w:bookmarkStart w:id="21" w:name="clinical-implications"/>
      <w:bookmarkEnd w:id="20"/>
      <w:r w:rsidRPr="000E3423">
        <w:rPr>
          <w:b/>
          <w:bCs/>
          <w:color w:val="auto"/>
          <w:sz w:val="20"/>
          <w:szCs w:val="20"/>
        </w:rPr>
        <w:t>Critical Appraisal of Thresholds</w:t>
      </w:r>
    </w:p>
    <w:p w14:paraId="75F200FC" w14:textId="30431906" w:rsidR="003F0286" w:rsidRPr="008B1B5B" w:rsidRDefault="003F0286" w:rsidP="004B385C">
      <w:pPr>
        <w:pStyle w:val="BodyText"/>
        <w:spacing w:line="480" w:lineRule="auto"/>
        <w:rPr>
          <w:sz w:val="20"/>
          <w:szCs w:val="20"/>
        </w:rPr>
      </w:pPr>
      <w:r w:rsidRPr="008B1B5B">
        <w:rPr>
          <w:sz w:val="20"/>
          <w:szCs w:val="20"/>
        </w:rPr>
        <w:t>The clinical thresholds identified in this review require cautious interpretation. Most were derived from single-center cohorts with modest sample sizes (n=30-</w:t>
      </w:r>
      <w:r w:rsidR="00700F3B">
        <w:rPr>
          <w:sz w:val="20"/>
          <w:szCs w:val="20"/>
        </w:rPr>
        <w:t>42</w:t>
      </w:r>
      <w:r w:rsidRPr="008B1B5B">
        <w:rPr>
          <w:sz w:val="20"/>
          <w:szCs w:val="20"/>
        </w:rPr>
        <w:t xml:space="preserve">), and external validation is lacking. The Avery studies [7,8] validated the AVP &gt;1.75 mL threshold across two institutions, providing the strongest evidence, though both cohorts were NF1-only populations. Threshold derivation and validation within the same dataset risks overfitting, particularly for the Gorodezki thresholds [16] which reported multiple cut points (&gt;0.1 cm³/month, &gt;4.0 cm³, &gt;11.1 cm³) from a single cohort of </w:t>
      </w:r>
      <w:r w:rsidR="00700F3B">
        <w:rPr>
          <w:sz w:val="20"/>
          <w:szCs w:val="20"/>
        </w:rPr>
        <w:t>33</w:t>
      </w:r>
      <w:r w:rsidRPr="008B1B5B">
        <w:rPr>
          <w:sz w:val="20"/>
          <w:szCs w:val="20"/>
        </w:rPr>
        <w:t xml:space="preserve"> patients. Additionally, positive and negative predictive values are prevalence-dependent; the reported PPV of 87-100% for RNFL abnormality [4] applies specifically to NF1 populations with high baseline OPG prevalence and may not generalize to sporadic cases or screening contexts. Prospective multicenter validation is essential before clinical implementation.</w:t>
      </w:r>
    </w:p>
    <w:p w14:paraId="1097A752" w14:textId="278A3818" w:rsidR="00F26503" w:rsidRPr="000E3423" w:rsidRDefault="00000000" w:rsidP="004B385C">
      <w:pPr>
        <w:pStyle w:val="Heading3"/>
        <w:spacing w:line="480" w:lineRule="auto"/>
        <w:rPr>
          <w:b/>
          <w:bCs/>
          <w:color w:val="auto"/>
          <w:sz w:val="20"/>
          <w:szCs w:val="20"/>
        </w:rPr>
      </w:pPr>
      <w:r w:rsidRPr="000E3423">
        <w:rPr>
          <w:b/>
          <w:bCs/>
          <w:color w:val="auto"/>
          <w:sz w:val="20"/>
          <w:szCs w:val="20"/>
        </w:rPr>
        <w:lastRenderedPageBreak/>
        <w:t>Clinical Implications</w:t>
      </w:r>
    </w:p>
    <w:p w14:paraId="4B082311" w14:textId="3B48ACDF" w:rsidR="009C2EA7" w:rsidRPr="008B1B5B" w:rsidRDefault="009C2EA7" w:rsidP="004B385C">
      <w:pPr>
        <w:pStyle w:val="FirstParagraph"/>
        <w:spacing w:line="480" w:lineRule="auto"/>
        <w:rPr>
          <w:b/>
          <w:bCs/>
          <w:sz w:val="20"/>
          <w:szCs w:val="20"/>
        </w:rPr>
      </w:pPr>
      <w:r w:rsidRPr="008B1B5B">
        <w:rPr>
          <w:b/>
          <w:bCs/>
          <w:sz w:val="20"/>
          <w:szCs w:val="20"/>
        </w:rPr>
        <w:t xml:space="preserve">Implementation Guidance: </w:t>
      </w:r>
      <w:r w:rsidRPr="008B1B5B">
        <w:rPr>
          <w:sz w:val="20"/>
          <w:szCs w:val="20"/>
        </w:rPr>
        <w:t>The adoption of volumetric measurement in clinical practice requires careful consideration of resource allocation and workflow integration. Manual segmentation, while accessible using free software platforms such as 3D Slicer, ITK-SNAP, Horos, and FSL, demands substantial operator training and quality assurance protocols to achieve high inter-rater reliability (e.g., ICC &gt;0.90) [10]. For small centers managing fewer than 20 OPG patients annually, this approach remains feasible when paired with standardized protocols such as the Lambron method [21], which provides explicit radioanatomical landmarks, consistent measurement procedures, and training requirements that improved consistency, raising inter-rater agreement from a highly variable Kappa range of 0.11–1.0 to a more reliable 0.56–1.0 across multiple tumor characteristics. Conversely, large academic centers and multi-institutional trials may justify investment in semi-automated approaches or AI-assisted segmentation to improve efficiency [17,26], though these approaches introduce algorithm versioning challenges and require prospective external validation before clinical deployment.</w:t>
      </w:r>
    </w:p>
    <w:p w14:paraId="0FD6F262" w14:textId="3BA869B3" w:rsidR="009C2EA7" w:rsidRPr="008B1B5B" w:rsidRDefault="009C2EA7" w:rsidP="004B385C">
      <w:pPr>
        <w:pStyle w:val="FirstParagraph"/>
        <w:spacing w:line="480" w:lineRule="auto"/>
        <w:rPr>
          <w:sz w:val="20"/>
          <w:szCs w:val="20"/>
        </w:rPr>
      </w:pPr>
      <w:r w:rsidRPr="008B1B5B">
        <w:rPr>
          <w:sz w:val="20"/>
          <w:szCs w:val="20"/>
        </w:rPr>
        <w:t>Clinical surveillance programs occupy an intermediate position, where volumetric monitoring may detect growth patterns such as tumor growth velocity exceeding 0.1 cm³/month (AUC 0.81 for visual acuity deterioration) [16] that could potentially predict deterioration earlier than conventional 2D measurements.</w:t>
      </w:r>
    </w:p>
    <w:p w14:paraId="24FA9FE0" w14:textId="4701DC70" w:rsidR="00F26503" w:rsidRPr="008B1B5B" w:rsidRDefault="009C2EA7" w:rsidP="004B385C">
      <w:pPr>
        <w:pStyle w:val="FirstParagraph"/>
        <w:spacing w:line="480" w:lineRule="auto"/>
        <w:rPr>
          <w:b/>
          <w:bCs/>
          <w:sz w:val="20"/>
          <w:szCs w:val="20"/>
        </w:rPr>
      </w:pPr>
      <w:r w:rsidRPr="008B1B5B">
        <w:rPr>
          <w:b/>
          <w:bCs/>
          <w:sz w:val="20"/>
          <w:szCs w:val="20"/>
        </w:rPr>
        <w:t xml:space="preserve">Clinical Decision Framework: </w:t>
      </w:r>
      <w:r w:rsidRPr="008B1B5B">
        <w:rPr>
          <w:sz w:val="20"/>
          <w:szCs w:val="20"/>
        </w:rPr>
        <w:t xml:space="preserve">Volumetric biomarkers should complement, rather than replace, existing neuro-ophthalmologic assessment. At initial diagnosis, anterior visual pathway volume exceeding 1.75 mL identifies patients at elevated risk for visual acuity deterioration (sensitivity 87%, specificity 90%), validated across two institutions using different MRI platforms [7,8]. During active surveillance, tumor growth velocity quantifies disease trajectory with superior specificity compared to static volume measurements [16]. However, the documented dissociation between tumor volume changes and visual function outcomes [18]—with volume change showing no correlation with visual acuity change (r = 0.0, p = 0.5)—necessitates parallel monitoring of retinal nerve fiber layer thickness [9] and formal visual field testing. Integration of volumetric metrics into existing response assessment frameworks (e.g., RAPNO criteria) remains aspirational pending </w:t>
      </w:r>
      <w:r w:rsidRPr="008B1B5B">
        <w:rPr>
          <w:sz w:val="20"/>
          <w:szCs w:val="20"/>
        </w:rPr>
        <w:lastRenderedPageBreak/>
        <w:t>prospective validation, particularly for diffuse chiasmatic tumors where conventional 2D measurements demonstrate 20% discordance with volumetric assessment [13]. NF1-associated OPGs exhibit distinct natural history patterns [16,20], suggesting that prognostic thresholds validated in sporadic tumors may require recalibration for this population.</w:t>
      </w:r>
    </w:p>
    <w:p w14:paraId="3DD418DC" w14:textId="77777777" w:rsidR="00F26503" w:rsidRPr="000E3423" w:rsidRDefault="00000000" w:rsidP="004B385C">
      <w:pPr>
        <w:pStyle w:val="Heading3"/>
        <w:spacing w:line="480" w:lineRule="auto"/>
        <w:rPr>
          <w:b/>
          <w:bCs/>
          <w:color w:val="auto"/>
          <w:sz w:val="20"/>
          <w:szCs w:val="20"/>
        </w:rPr>
      </w:pPr>
      <w:bookmarkStart w:id="22" w:name="limitations"/>
      <w:bookmarkEnd w:id="21"/>
      <w:r w:rsidRPr="000E3423">
        <w:rPr>
          <w:b/>
          <w:bCs/>
          <w:color w:val="auto"/>
          <w:sz w:val="20"/>
          <w:szCs w:val="20"/>
        </w:rPr>
        <w:t>Limitations</w:t>
      </w:r>
    </w:p>
    <w:p w14:paraId="0CCA8A83" w14:textId="3F562EC0" w:rsidR="00F26503" w:rsidRPr="008B1B5B" w:rsidRDefault="00F9219B" w:rsidP="004B385C">
      <w:pPr>
        <w:pStyle w:val="FirstParagraph"/>
        <w:spacing w:line="480" w:lineRule="auto"/>
        <w:rPr>
          <w:sz w:val="20"/>
          <w:szCs w:val="20"/>
        </w:rPr>
      </w:pPr>
      <w:r w:rsidRPr="008B1B5B">
        <w:rPr>
          <w:sz w:val="20"/>
          <w:szCs w:val="20"/>
        </w:rPr>
        <w:t>This review has several limitations: lack of prospective protocol registration; single-reviewer screening and selection increases risk of selection bias and missed relevant studies; methodological heterogeneity precluded meta-analysis; formal quality assessment was not performed per PRISMA-ScR guidance; and rapidly evolving AI methods may outpace these findings. In particular, the exclusion of conference proceedings likely underrepresents fully automated deep learning approaches (only 2 of 27 studies, 7%), which are often first reported at specialized venues (MICCAI, SPIE Medical Imaging) before peer-reviewed publication.</w:t>
      </w:r>
    </w:p>
    <w:p w14:paraId="51308E38" w14:textId="77777777" w:rsidR="00F26503" w:rsidRPr="000E3423" w:rsidRDefault="00000000" w:rsidP="004B385C">
      <w:pPr>
        <w:pStyle w:val="Heading3"/>
        <w:spacing w:line="480" w:lineRule="auto"/>
        <w:rPr>
          <w:b/>
          <w:bCs/>
          <w:color w:val="auto"/>
          <w:sz w:val="20"/>
          <w:szCs w:val="20"/>
        </w:rPr>
      </w:pPr>
      <w:bookmarkStart w:id="23" w:name="Xad1c6ba51e4875230f1ceb08fb70424817dbc84"/>
      <w:bookmarkEnd w:id="22"/>
      <w:r w:rsidRPr="000E3423">
        <w:rPr>
          <w:b/>
          <w:bCs/>
          <w:color w:val="auto"/>
          <w:sz w:val="20"/>
          <w:szCs w:val="20"/>
        </w:rPr>
        <w:t>Implications for Response Assessment Criteria</w:t>
      </w:r>
    </w:p>
    <w:p w14:paraId="4ECCD0E3" w14:textId="77777777" w:rsidR="00F26503" w:rsidRPr="008B1B5B" w:rsidRDefault="00000000" w:rsidP="004B385C">
      <w:pPr>
        <w:pStyle w:val="FirstParagraph"/>
        <w:spacing w:line="480" w:lineRule="auto"/>
        <w:rPr>
          <w:sz w:val="20"/>
          <w:szCs w:val="20"/>
        </w:rPr>
      </w:pPr>
      <w:r w:rsidRPr="008B1B5B">
        <w:rPr>
          <w:sz w:val="20"/>
          <w:szCs w:val="20"/>
        </w:rPr>
        <w:t>The documented 20% discordance between 2D and volumetric assessments [13] has direct implications for RAPNO criteria revision. Current RAPNO criteria rely on bidimensional measurements that may be inadequate for diffuse OPGs. The thresholds synthesized in this review (particularly TGV &gt;0.1 cm³/month with AUC 0.81) could inform volumetric-based response criteria, though multicenter validation remains essential before incorporation into clinical guidelines.</w:t>
      </w:r>
    </w:p>
    <w:p w14:paraId="22766670" w14:textId="77777777" w:rsidR="00F26503" w:rsidRPr="000E3423" w:rsidRDefault="00000000" w:rsidP="004B385C">
      <w:pPr>
        <w:pStyle w:val="Heading3"/>
        <w:spacing w:line="480" w:lineRule="auto"/>
        <w:rPr>
          <w:b/>
          <w:bCs/>
          <w:color w:val="auto"/>
          <w:sz w:val="20"/>
          <w:szCs w:val="20"/>
        </w:rPr>
      </w:pPr>
      <w:bookmarkStart w:id="24" w:name="future-directions"/>
      <w:bookmarkEnd w:id="23"/>
      <w:r w:rsidRPr="000E3423">
        <w:rPr>
          <w:b/>
          <w:bCs/>
          <w:color w:val="auto"/>
          <w:sz w:val="20"/>
          <w:szCs w:val="20"/>
        </w:rPr>
        <w:t>Future Directions</w:t>
      </w:r>
    </w:p>
    <w:p w14:paraId="3344A597" w14:textId="77777777" w:rsidR="00F26503" w:rsidRPr="008B1B5B" w:rsidRDefault="00000000" w:rsidP="004B385C">
      <w:pPr>
        <w:pStyle w:val="FirstParagraph"/>
        <w:spacing w:line="480" w:lineRule="auto"/>
        <w:rPr>
          <w:sz w:val="20"/>
          <w:szCs w:val="20"/>
        </w:rPr>
      </w:pPr>
      <w:r w:rsidRPr="008B1B5B">
        <w:rPr>
          <w:sz w:val="20"/>
          <w:szCs w:val="20"/>
        </w:rPr>
        <w:t>Priority research needs include: (1) reliability studies with standardized protocols; (2) multicenter validation of the AVP &gt;1.75 mL and TGV &gt;0.1 cm³/month thresholds; (3) prospective evaluation of automated methods addressing algorithm versioning; (4) development of open-source validated tools; and (5) consensus measurement protocol development through professional societies.</w:t>
      </w:r>
    </w:p>
    <w:p w14:paraId="6B914F98" w14:textId="77777777" w:rsidR="00F26503" w:rsidRPr="008B1B5B" w:rsidRDefault="00000000" w:rsidP="004B385C">
      <w:pPr>
        <w:spacing w:line="480" w:lineRule="auto"/>
        <w:rPr>
          <w:sz w:val="20"/>
          <w:szCs w:val="20"/>
        </w:rPr>
      </w:pPr>
      <w:r>
        <w:rPr>
          <w:sz w:val="20"/>
          <w:szCs w:val="20"/>
        </w:rPr>
        <w:pict w14:anchorId="24D4370D">
          <v:rect id="_x0000_i1031" style="width:0;height:1.5pt" o:hralign="center" o:hrstd="t" o:hr="t"/>
        </w:pict>
      </w:r>
    </w:p>
    <w:p w14:paraId="40A76DD5" w14:textId="77777777" w:rsidR="00F26503" w:rsidRPr="000E3423" w:rsidRDefault="00000000" w:rsidP="004B385C">
      <w:pPr>
        <w:pStyle w:val="Heading2"/>
        <w:spacing w:line="480" w:lineRule="auto"/>
        <w:rPr>
          <w:b/>
          <w:bCs/>
          <w:color w:val="auto"/>
          <w:sz w:val="20"/>
          <w:szCs w:val="20"/>
        </w:rPr>
      </w:pPr>
      <w:bookmarkStart w:id="25" w:name="conclusion"/>
      <w:bookmarkEnd w:id="17"/>
      <w:bookmarkEnd w:id="24"/>
      <w:r w:rsidRPr="000E3423">
        <w:rPr>
          <w:b/>
          <w:bCs/>
          <w:color w:val="auto"/>
          <w:sz w:val="20"/>
          <w:szCs w:val="20"/>
        </w:rPr>
        <w:lastRenderedPageBreak/>
        <w:t>Conclusion</w:t>
      </w:r>
    </w:p>
    <w:p w14:paraId="722D68B5" w14:textId="77777777" w:rsidR="00F26503" w:rsidRPr="008B1B5B" w:rsidRDefault="00000000" w:rsidP="004B385C">
      <w:pPr>
        <w:pStyle w:val="FirstParagraph"/>
        <w:spacing w:line="480" w:lineRule="auto"/>
        <w:rPr>
          <w:sz w:val="20"/>
          <w:szCs w:val="20"/>
        </w:rPr>
      </w:pPr>
      <w:r w:rsidRPr="008B1B5B">
        <w:rPr>
          <w:sz w:val="20"/>
          <w:szCs w:val="20"/>
        </w:rPr>
        <w:t>Volumetric measurement for pediatric OPG has evolved substantially, yet significant heterogeneity persists, reliability reporting remains deficient (18%), and most thresholds lack multicenter validation. The volume-visual function dissociation—strong structural but weak functional correlations—challenges assumptions about treatment response. Standardized protocols with established reliability benchmarks and prospective threshold validation are essential before volumetric biomarkers can be recommended for clinical decision-making. Until such standardization is achieved, volumetric findings should be integrated with RNFL measurements and functional visual assessment for management decisions.</w:t>
      </w:r>
    </w:p>
    <w:p w14:paraId="5316C9E9" w14:textId="77777777" w:rsidR="00F26503" w:rsidRPr="008B1B5B" w:rsidRDefault="00000000" w:rsidP="004B385C">
      <w:pPr>
        <w:spacing w:line="480" w:lineRule="auto"/>
        <w:rPr>
          <w:sz w:val="20"/>
          <w:szCs w:val="20"/>
        </w:rPr>
      </w:pPr>
      <w:r>
        <w:rPr>
          <w:sz w:val="20"/>
          <w:szCs w:val="20"/>
        </w:rPr>
        <w:pict w14:anchorId="7C50AF48">
          <v:rect id="_x0000_i1032" style="width:0;height:1.5pt" o:hralign="center" o:hrstd="t" o:hr="t"/>
        </w:pict>
      </w:r>
    </w:p>
    <w:p w14:paraId="2C4CC7B0" w14:textId="77777777" w:rsidR="00F26503" w:rsidRPr="000E3423" w:rsidRDefault="00000000" w:rsidP="004B385C">
      <w:pPr>
        <w:pStyle w:val="Heading2"/>
        <w:spacing w:line="480" w:lineRule="auto"/>
        <w:rPr>
          <w:b/>
          <w:bCs/>
          <w:color w:val="auto"/>
          <w:sz w:val="20"/>
          <w:szCs w:val="20"/>
        </w:rPr>
      </w:pPr>
      <w:bookmarkStart w:id="26" w:name="declarations"/>
      <w:bookmarkEnd w:id="25"/>
      <w:r w:rsidRPr="000E3423">
        <w:rPr>
          <w:b/>
          <w:bCs/>
          <w:color w:val="auto"/>
          <w:sz w:val="20"/>
          <w:szCs w:val="20"/>
        </w:rPr>
        <w:t>Declarations</w:t>
      </w:r>
    </w:p>
    <w:p w14:paraId="72E5E104" w14:textId="48311775" w:rsidR="00A56834" w:rsidRPr="00A56834" w:rsidRDefault="00A56834" w:rsidP="004B385C">
      <w:pPr>
        <w:pStyle w:val="FirstParagraph"/>
        <w:spacing w:line="480" w:lineRule="auto"/>
        <w:rPr>
          <w:sz w:val="20"/>
          <w:szCs w:val="20"/>
        </w:rPr>
      </w:pPr>
      <w:r w:rsidRPr="00A56834">
        <w:rPr>
          <w:b/>
          <w:bCs/>
          <w:sz w:val="20"/>
          <w:szCs w:val="20"/>
        </w:rPr>
        <w:t xml:space="preserve">Clinical trial number: </w:t>
      </w:r>
      <w:r w:rsidRPr="00A56834">
        <w:rPr>
          <w:sz w:val="20"/>
          <w:szCs w:val="20"/>
        </w:rPr>
        <w:t>not applicable.</w:t>
      </w:r>
    </w:p>
    <w:p w14:paraId="18956ED3" w14:textId="4ED595EF" w:rsidR="00F26503" w:rsidRPr="008B1B5B" w:rsidRDefault="00000000" w:rsidP="004B385C">
      <w:pPr>
        <w:pStyle w:val="FirstParagraph"/>
        <w:spacing w:line="480" w:lineRule="auto"/>
        <w:rPr>
          <w:sz w:val="20"/>
          <w:szCs w:val="20"/>
        </w:rPr>
      </w:pPr>
      <w:r w:rsidRPr="008B1B5B">
        <w:rPr>
          <w:b/>
          <w:bCs/>
          <w:sz w:val="20"/>
          <w:szCs w:val="20"/>
        </w:rPr>
        <w:t>Funding:</w:t>
      </w:r>
      <w:r w:rsidRPr="008B1B5B">
        <w:rPr>
          <w:sz w:val="20"/>
          <w:szCs w:val="20"/>
        </w:rPr>
        <w:t xml:space="preserve"> No funding was received for this work.</w:t>
      </w:r>
    </w:p>
    <w:p w14:paraId="37C95DDC" w14:textId="77777777" w:rsidR="00F26503" w:rsidRPr="008B1B5B" w:rsidRDefault="00000000" w:rsidP="004B385C">
      <w:pPr>
        <w:pStyle w:val="BodyText"/>
        <w:spacing w:line="480" w:lineRule="auto"/>
        <w:rPr>
          <w:sz w:val="20"/>
          <w:szCs w:val="20"/>
        </w:rPr>
      </w:pPr>
      <w:r w:rsidRPr="008B1B5B">
        <w:rPr>
          <w:b/>
          <w:bCs/>
          <w:sz w:val="20"/>
          <w:szCs w:val="20"/>
        </w:rPr>
        <w:t>Conflicts of Interest:</w:t>
      </w:r>
      <w:r w:rsidRPr="008B1B5B">
        <w:rPr>
          <w:sz w:val="20"/>
          <w:szCs w:val="20"/>
        </w:rPr>
        <w:t xml:space="preserve"> The author declares no conflicts of interest.</w:t>
      </w:r>
    </w:p>
    <w:p w14:paraId="43228628" w14:textId="77777777" w:rsidR="00F26503" w:rsidRPr="008B1B5B" w:rsidRDefault="00000000" w:rsidP="004B385C">
      <w:pPr>
        <w:pStyle w:val="BodyText"/>
        <w:spacing w:line="480" w:lineRule="auto"/>
        <w:rPr>
          <w:sz w:val="20"/>
          <w:szCs w:val="20"/>
        </w:rPr>
      </w:pPr>
      <w:r w:rsidRPr="008B1B5B">
        <w:rPr>
          <w:b/>
          <w:bCs/>
          <w:sz w:val="20"/>
          <w:szCs w:val="20"/>
        </w:rPr>
        <w:t>Ethics Approval:</w:t>
      </w:r>
      <w:r w:rsidRPr="008B1B5B">
        <w:rPr>
          <w:sz w:val="20"/>
          <w:szCs w:val="20"/>
        </w:rPr>
        <w:t xml:space="preserve"> Not applicable (scoping review of published literature).</w:t>
      </w:r>
    </w:p>
    <w:p w14:paraId="1E818014" w14:textId="77777777" w:rsidR="00F26503" w:rsidRPr="008B1B5B" w:rsidRDefault="00000000" w:rsidP="004B385C">
      <w:pPr>
        <w:pStyle w:val="BodyText"/>
        <w:spacing w:line="480" w:lineRule="auto"/>
        <w:rPr>
          <w:sz w:val="20"/>
          <w:szCs w:val="20"/>
        </w:rPr>
      </w:pPr>
      <w:r w:rsidRPr="008B1B5B">
        <w:rPr>
          <w:b/>
          <w:bCs/>
          <w:sz w:val="20"/>
          <w:szCs w:val="20"/>
        </w:rPr>
        <w:t>Consent to Participate:</w:t>
      </w:r>
      <w:r w:rsidRPr="008B1B5B">
        <w:rPr>
          <w:sz w:val="20"/>
          <w:szCs w:val="20"/>
        </w:rPr>
        <w:t xml:space="preserve"> Not applicable.</w:t>
      </w:r>
    </w:p>
    <w:p w14:paraId="691B470B" w14:textId="77777777" w:rsidR="00F26503" w:rsidRPr="008B1B5B" w:rsidRDefault="00000000" w:rsidP="004B385C">
      <w:pPr>
        <w:pStyle w:val="BodyText"/>
        <w:spacing w:line="480" w:lineRule="auto"/>
        <w:rPr>
          <w:sz w:val="20"/>
          <w:szCs w:val="20"/>
        </w:rPr>
      </w:pPr>
      <w:r w:rsidRPr="008B1B5B">
        <w:rPr>
          <w:b/>
          <w:bCs/>
          <w:sz w:val="20"/>
          <w:szCs w:val="20"/>
        </w:rPr>
        <w:t>Consent for Publication:</w:t>
      </w:r>
      <w:r w:rsidRPr="008B1B5B">
        <w:rPr>
          <w:sz w:val="20"/>
          <w:szCs w:val="20"/>
        </w:rPr>
        <w:t xml:space="preserve"> Not applicable.</w:t>
      </w:r>
    </w:p>
    <w:p w14:paraId="568171A6" w14:textId="77777777" w:rsidR="00F26503" w:rsidRPr="008B1B5B" w:rsidRDefault="00000000" w:rsidP="004B385C">
      <w:pPr>
        <w:pStyle w:val="BodyText"/>
        <w:spacing w:line="480" w:lineRule="auto"/>
        <w:rPr>
          <w:sz w:val="20"/>
          <w:szCs w:val="20"/>
        </w:rPr>
      </w:pPr>
      <w:r w:rsidRPr="008B1B5B">
        <w:rPr>
          <w:b/>
          <w:bCs/>
          <w:sz w:val="20"/>
          <w:szCs w:val="20"/>
        </w:rPr>
        <w:t>Data Availability:</w:t>
      </w:r>
      <w:r w:rsidRPr="008B1B5B">
        <w:rPr>
          <w:sz w:val="20"/>
          <w:szCs w:val="20"/>
        </w:rPr>
        <w:t xml:space="preserve"> All data extracted from included studies are available in the supplementary materials.</w:t>
      </w:r>
    </w:p>
    <w:p w14:paraId="3EF1C26C" w14:textId="77777777" w:rsidR="00F26503" w:rsidRPr="008B1B5B" w:rsidRDefault="00000000" w:rsidP="004B385C">
      <w:pPr>
        <w:pStyle w:val="BodyText"/>
        <w:spacing w:line="480" w:lineRule="auto"/>
        <w:rPr>
          <w:sz w:val="20"/>
          <w:szCs w:val="20"/>
        </w:rPr>
      </w:pPr>
      <w:r w:rsidRPr="008B1B5B">
        <w:rPr>
          <w:b/>
          <w:bCs/>
          <w:sz w:val="20"/>
          <w:szCs w:val="20"/>
        </w:rPr>
        <w:t>Author Contributions:</w:t>
      </w:r>
      <w:r w:rsidRPr="008B1B5B">
        <w:rPr>
          <w:sz w:val="20"/>
          <w:szCs w:val="20"/>
        </w:rPr>
        <w:t xml:space="preserve"> PHM conceived and designed the study, conducted the literature search, performed data extraction and synthesis, and wrote the manuscript.</w:t>
      </w:r>
    </w:p>
    <w:p w14:paraId="5BBC9042" w14:textId="77777777" w:rsidR="00F26503" w:rsidRPr="008B1B5B" w:rsidRDefault="00000000" w:rsidP="004B385C">
      <w:pPr>
        <w:spacing w:line="480" w:lineRule="auto"/>
        <w:rPr>
          <w:sz w:val="20"/>
          <w:szCs w:val="20"/>
        </w:rPr>
      </w:pPr>
      <w:r>
        <w:rPr>
          <w:sz w:val="20"/>
          <w:szCs w:val="20"/>
        </w:rPr>
        <w:pict w14:anchorId="3E615AE3">
          <v:rect id="_x0000_i1033" style="width:0;height:1.5pt" o:hralign="center" o:hrstd="t" o:hr="t"/>
        </w:pict>
      </w:r>
    </w:p>
    <w:p w14:paraId="6BF72ACF" w14:textId="77777777" w:rsidR="00F26503" w:rsidRPr="000E3423" w:rsidRDefault="00000000" w:rsidP="004B385C">
      <w:pPr>
        <w:pStyle w:val="Heading2"/>
        <w:spacing w:line="480" w:lineRule="auto"/>
        <w:rPr>
          <w:b/>
          <w:bCs/>
          <w:color w:val="auto"/>
          <w:sz w:val="20"/>
          <w:szCs w:val="20"/>
        </w:rPr>
      </w:pPr>
      <w:bookmarkStart w:id="27" w:name="references"/>
      <w:bookmarkEnd w:id="26"/>
      <w:r w:rsidRPr="000E3423">
        <w:rPr>
          <w:b/>
          <w:bCs/>
          <w:color w:val="auto"/>
          <w:sz w:val="20"/>
          <w:szCs w:val="20"/>
        </w:rPr>
        <w:lastRenderedPageBreak/>
        <w:t>References</w:t>
      </w:r>
    </w:p>
    <w:p w14:paraId="04324A8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Listernick R, Ferner RE, Liu GT, Gutmann DH. Optic pathway gliomas in neurofibromatosis-1: controversies and recommendations. Ann Neurol. 2007;61(3):189-98.</w:t>
      </w:r>
    </w:p>
    <w:p w14:paraId="1862C6B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Fisher MJ, Liu GT. Optic pathway gliomas. J Neuroophthalmol. 2011;31(3):269-78.</w:t>
      </w:r>
    </w:p>
    <w:p w14:paraId="206EE707"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Hwang EI, Jakacki RI, Packer RJ. Marked recovery of vision in children with optic pathway gliomas treated with bevacizumab. JAMA Ophthalmol. 2014;132(1):111-4.</w:t>
      </w:r>
    </w:p>
    <w:p w14:paraId="59A1AB04"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Cnaan A, Schuman JS, et al. Optic pathway glioma volume predicts retinal axon degeneration in neurofibromatosis type 1. Neurology. 2016;87(21):2221-9.</w:t>
      </w:r>
    </w:p>
    <w:p w14:paraId="2A2AB07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Cnaan A, Schuman JS, et al. Quantitative MRI criteria for optic pathway enlargement in neurofibromatosis type 1. Neurology. 2016;86(24):2264-70.</w:t>
      </w:r>
    </w:p>
    <w:p w14:paraId="42C184C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Bouffet E, Packer RJ, Reginald A. Feasibility and comparison of visual acuity testing methods in children with neurofibromatosis type 1 and/or optic pathway gliomas. Invest Ophthalmol Vis Sci. 2013;54(2):1034-8.</w:t>
      </w:r>
    </w:p>
    <w:p w14:paraId="15107AB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Stence NV, Engel MA, et al. Larger tumor volume associated with worse visual acuity at diagnosis in children with optic pathway gliomas and neurofibromatosis type 1. Neuro Oncol Adv. 2023;5(1):vdad107.</w:t>
      </w:r>
    </w:p>
    <w:p w14:paraId="343FF0C8"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Mansoor A, Engel MA, et al. Optic pathway glioma volume predicts visual acuity loss and axonal loss in children with neurofibromatosis type 1. Neuro Oncol. 2018;20(Suppl 2):i105.</w:t>
      </w:r>
    </w:p>
    <w:p w14:paraId="1404F4A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Alshowaeir D, Al-Sakkaf H, Alwehaib A, Altwijri R, Almandeel N, Almutawa A, et al. Correlation between retinal nerve fibre layer thickness and tumour volume in patients with optic pathway gliomas. Int Ophthalmol. 2025;45:288. doi:10.1007/s10792-025-03676-2</w:t>
      </w:r>
    </w:p>
    <w:p w14:paraId="1D29CBB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Bennebroek CAM, Hoffmann DM, Bouckaert K, et al. Treatment evaluation by volumetric segmentation in pediatric optic pathway glioma. J Neurooncol. 2024;166(1):107-16.</w:t>
      </w:r>
    </w:p>
    <w:p w14:paraId="6779BFD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Bennebroek CAM, de Graaf P, Castelijns JA, et al. Treatment of isolated pediatric optic nerve glioma. Pediatr Blood Cancer. 2024;71(12):e31358.</w:t>
      </w:r>
    </w:p>
    <w:p w14:paraId="44C08A92" w14:textId="77777777" w:rsidR="00F26503" w:rsidRPr="008B1B5B" w:rsidRDefault="00000000" w:rsidP="004B385C">
      <w:pPr>
        <w:pStyle w:val="Compact"/>
        <w:numPr>
          <w:ilvl w:val="0"/>
          <w:numId w:val="4"/>
        </w:numPr>
        <w:spacing w:line="480" w:lineRule="auto"/>
        <w:rPr>
          <w:sz w:val="20"/>
          <w:szCs w:val="20"/>
        </w:rPr>
      </w:pPr>
      <w:r w:rsidRPr="008B1B5B">
        <w:rPr>
          <w:sz w:val="20"/>
          <w:szCs w:val="20"/>
        </w:rPr>
        <w:lastRenderedPageBreak/>
        <w:t>Bennebroek CAM, van Zanten GA, Schakel IM, et al. Bevacizumab treatment effects on visual function and tumor size in optic pathway glioma. Cancers (Basel). 2022;14(24):6087.</w:t>
      </w:r>
    </w:p>
    <w:p w14:paraId="2990CE1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D’Arco F, O’Hare P, Dashti F, et al. Volumetric assessment of tumour size changes in paediatric low grade gliomas: comparison with linear measurements and implications for determining response to therapy. Arch Dis Child. 2017;102(Suppl 1):A12-A13. doi:10.1136/archdischild-2017-084620.33</w:t>
      </w:r>
    </w:p>
    <w:p w14:paraId="33402EE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Fouladi M, Hunt DL, Pollack IF, et al. Outcome of children with centrally reviewed low-grade gliomas treated with chemotherapy. Neurology. 2003;60(8):1274-9.</w:t>
      </w:r>
    </w:p>
    <w:p w14:paraId="40539A1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Fisher MJ, Loguidice M, Gutmann DH, et al. Visual outcomes in children with neurofibromatosis type 1-associated optic pathway glioma following chemotherapy. Neuro Oncol. 2012;14(6):788-94.</w:t>
      </w:r>
    </w:p>
    <w:p w14:paraId="624A9C0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Gorodezki D, Schuhmann MU, Ebinger M, Krauss J. MRI-based 3D tumor burden and growth velocity for visual acuity prediction in optic pathway glioma. Childs Nerv Syst. 2025;41(1):89.</w:t>
      </w:r>
    </w:p>
    <w:p w14:paraId="63516DB2" w14:textId="77777777" w:rsidR="00F26503" w:rsidRPr="008B1B5B" w:rsidRDefault="00000000" w:rsidP="004B385C">
      <w:pPr>
        <w:pStyle w:val="Compact"/>
        <w:numPr>
          <w:ilvl w:val="0"/>
          <w:numId w:val="4"/>
        </w:numPr>
        <w:spacing w:line="480" w:lineRule="auto"/>
        <w:rPr>
          <w:sz w:val="20"/>
          <w:szCs w:val="20"/>
        </w:rPr>
      </w:pPr>
      <w:r w:rsidRPr="008B1B5B">
        <w:rPr>
          <w:sz w:val="20"/>
          <w:szCs w:val="20"/>
        </w:rPr>
        <w:t>Jiang Q, Liu Y, Li L, et al. Automatic visual acuity loss prediction in children with optic pathway glioma using MRI. Annu Int Conf IEEE Eng Med Biol Soc. 2023;2023:1-4.</w:t>
      </w:r>
    </w:p>
    <w:p w14:paraId="45EA30B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Kelly KR, McKetton L, Bhardwaj S, et al. Longitudinal measures of visual function, tumor volume, and prediction of visual outcomes after treatment of optic pathway gliomas. Ophthalmology. 2012;119(6):1213-9.</w:t>
      </w:r>
    </w:p>
    <w:p w14:paraId="445C8BCA"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Kelly KR, McKetton L, Bhardwaj S, et al. Detection of tumor progression in optic pathway glioma: development and validation of a biomarker. Neuro Oncol. 2013;15(11):1473-81.</w:t>
      </w:r>
    </w:p>
    <w:p w14:paraId="2D6BA90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Kilian T, Gutmann DH, Jilg C, et al. Tumor load versus contrast enhancement as risk factors for optic pathway glioma progression. J Neurooncol. 2022;156(2):347-55.</w:t>
      </w:r>
    </w:p>
    <w:p w14:paraId="163FAFC2"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Lambron J, Fernandez C, Perot G, et al. Can we improve accuracy and reliability of MRI interpretation in children with optic pathway glioma? Proposal for a reproducible imaging classification. Neuroradiology. 2016;58(2):197-208. doi:10.1007/s00234-015-1612-7</w:t>
      </w:r>
    </w:p>
    <w:p w14:paraId="24466CE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Ludmir EB, Mahajan A, Paulino AC, et al. Increased risk of pseudoprogression among pediatric low-grade glioma patients treated with proton versus photon radiotherapy. Neuro Oncol. 2019;21(6):686-95.</w:t>
      </w:r>
    </w:p>
    <w:p w14:paraId="3CCBF7EA" w14:textId="77777777" w:rsidR="00F26503" w:rsidRPr="008B1B5B" w:rsidRDefault="00000000" w:rsidP="004B385C">
      <w:pPr>
        <w:pStyle w:val="Compact"/>
        <w:numPr>
          <w:ilvl w:val="0"/>
          <w:numId w:val="4"/>
        </w:numPr>
        <w:spacing w:line="480" w:lineRule="auto"/>
        <w:rPr>
          <w:sz w:val="20"/>
          <w:szCs w:val="20"/>
        </w:rPr>
      </w:pPr>
      <w:r w:rsidRPr="008B1B5B">
        <w:rPr>
          <w:sz w:val="20"/>
          <w:szCs w:val="20"/>
        </w:rPr>
        <w:lastRenderedPageBreak/>
        <w:t>Maloney E, Schill EM, Gross A, et al. Non-inferiority of a non-gadolinium-enhanced MRI follow-up protocol for isolated optic pathway glioma. Pediatr Radiol. 2021;51(13):2457-65.</w:t>
      </w:r>
    </w:p>
    <w:p w14:paraId="77F28F5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Marsault R, Boddaert N, Dufour C, et al. Diagnostic performance of unenhanced MRI for follow-up of optic pathway glioma. Neuroradiology. 2019;61(8):897-905.</w:t>
      </w:r>
    </w:p>
    <w:p w14:paraId="2F72EE4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Nalepa J, Ribalta Lorenzo P, Marcinkiewicz M, et al. Segmenting pediatric optic pathway gliomas from MRI using deep learning. Comput Biol Med. 2022;142:105237.</w:t>
      </w:r>
    </w:p>
    <w:p w14:paraId="672CE234" w14:textId="77777777" w:rsidR="00F26503" w:rsidRPr="008B1B5B" w:rsidRDefault="00000000" w:rsidP="004B385C">
      <w:pPr>
        <w:pStyle w:val="Compact"/>
        <w:numPr>
          <w:ilvl w:val="0"/>
          <w:numId w:val="4"/>
        </w:numPr>
        <w:spacing w:line="480" w:lineRule="auto"/>
        <w:rPr>
          <w:sz w:val="20"/>
          <w:szCs w:val="20"/>
        </w:rPr>
      </w:pPr>
      <w:r w:rsidRPr="008B1B5B">
        <w:rPr>
          <w:sz w:val="20"/>
          <w:szCs w:val="20"/>
        </w:rPr>
        <w:t>Shofty B, Ben-Sira L, Freedman S, et al. MRI internal segmentation of optic pathway gliomas: clinical implementation of a novel method. Childs Nerv Syst. 2011;27(8):1265-72.</w:t>
      </w:r>
    </w:p>
    <w:p w14:paraId="3FEEC3C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Shofty B, Weizman L, Joskowicz L, et al. The effect of chemotherapy on optic pathway glioma sub-components. Pediatr Blood Cancer. 2015;62(6):972-7.</w:t>
      </w:r>
    </w:p>
    <w:p w14:paraId="45D874F1" w14:textId="77777777" w:rsidR="00F26503" w:rsidRPr="008B1B5B" w:rsidRDefault="00000000" w:rsidP="004B385C">
      <w:pPr>
        <w:pStyle w:val="Compact"/>
        <w:numPr>
          <w:ilvl w:val="0"/>
          <w:numId w:val="4"/>
        </w:numPr>
        <w:spacing w:line="480" w:lineRule="auto"/>
        <w:rPr>
          <w:sz w:val="20"/>
          <w:szCs w:val="20"/>
        </w:rPr>
      </w:pPr>
      <w:r w:rsidRPr="008B1B5B">
        <w:rPr>
          <w:sz w:val="20"/>
          <w:szCs w:val="20"/>
        </w:rPr>
        <w:t>Vajapeyam S, Brown D, Engel BA, et al. ADC histogram analysis of pediatric low-grade glioma treated with selumetinib. AJNR Am J Neuroradiol. 2022;43(5):759-64.</w:t>
      </w:r>
    </w:p>
    <w:p w14:paraId="1C0B136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Yeom KW, Lober RM, Andre JB, et al. Prognostic role for diffusion-weighted imaging of pediatric optic pathway glioma. J Neurooncol. 2013;113(3):479-83.</w:t>
      </w:r>
    </w:p>
    <w:p w14:paraId="6FF30AD6" w14:textId="77777777" w:rsidR="00F26503" w:rsidRPr="008B1B5B" w:rsidRDefault="00000000" w:rsidP="004B385C">
      <w:pPr>
        <w:pStyle w:val="Compact"/>
        <w:numPr>
          <w:ilvl w:val="0"/>
          <w:numId w:val="4"/>
        </w:numPr>
        <w:spacing w:line="480" w:lineRule="auto"/>
        <w:rPr>
          <w:sz w:val="20"/>
          <w:szCs w:val="20"/>
        </w:rPr>
      </w:pPr>
      <w:r w:rsidRPr="008B1B5B">
        <w:rPr>
          <w:sz w:val="20"/>
          <w:szCs w:val="20"/>
        </w:rPr>
        <w:t>Youn JH, Cho BK, Kim SK, et al. Regression and pseudoprogression of pediatric optic pathway glioma after proton beam therapy. Pediatr Blood Cancer. 2022;69(2):e29434.</w:t>
      </w:r>
    </w:p>
    <w:p w14:paraId="59F3A016" w14:textId="77777777" w:rsidR="00F26503" w:rsidRPr="008B1B5B" w:rsidRDefault="00000000" w:rsidP="004B385C">
      <w:pPr>
        <w:spacing w:line="480" w:lineRule="auto"/>
        <w:rPr>
          <w:sz w:val="20"/>
          <w:szCs w:val="20"/>
        </w:rPr>
      </w:pPr>
      <w:r>
        <w:rPr>
          <w:sz w:val="20"/>
          <w:szCs w:val="20"/>
        </w:rPr>
        <w:pict w14:anchorId="37E88883">
          <v:rect id="_x0000_i1034" style="width:0;height:1.5pt" o:hralign="center" o:hrstd="t" o:hr="t"/>
        </w:pict>
      </w:r>
    </w:p>
    <w:p w14:paraId="72515F01" w14:textId="77777777" w:rsidR="00F26503" w:rsidRPr="000E3423" w:rsidRDefault="00000000" w:rsidP="004B385C">
      <w:pPr>
        <w:pStyle w:val="Heading2"/>
        <w:spacing w:line="480" w:lineRule="auto"/>
        <w:rPr>
          <w:b/>
          <w:bCs/>
          <w:color w:val="auto"/>
          <w:sz w:val="20"/>
          <w:szCs w:val="20"/>
        </w:rPr>
      </w:pPr>
      <w:bookmarkStart w:id="28" w:name="tables"/>
      <w:bookmarkEnd w:id="27"/>
      <w:r w:rsidRPr="000E3423">
        <w:rPr>
          <w:b/>
          <w:bCs/>
          <w:color w:val="auto"/>
          <w:sz w:val="20"/>
          <w:szCs w:val="20"/>
        </w:rPr>
        <w:t>Tables</w:t>
      </w:r>
    </w:p>
    <w:p w14:paraId="36B6A299" w14:textId="77777777" w:rsidR="00F26503" w:rsidRPr="008B1B5B" w:rsidRDefault="00000000" w:rsidP="004B385C">
      <w:pPr>
        <w:pStyle w:val="FirstParagraph"/>
        <w:spacing w:line="480" w:lineRule="auto"/>
        <w:rPr>
          <w:sz w:val="20"/>
          <w:szCs w:val="20"/>
        </w:rPr>
      </w:pPr>
      <w:r w:rsidRPr="008B1B5B">
        <w:rPr>
          <w:b/>
          <w:bCs/>
          <w:sz w:val="20"/>
          <w:szCs w:val="20"/>
        </w:rPr>
        <w:t>Table 1.</w:t>
      </w:r>
      <w:r w:rsidRPr="008B1B5B">
        <w:rPr>
          <w:sz w:val="20"/>
          <w:szCs w:val="20"/>
        </w:rPr>
        <w:t xml:space="preserve"> Characteristics of Included Studies (n=28; 17 representative studies shown)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6"/>
        <w:gridCol w:w="537"/>
        <w:gridCol w:w="1114"/>
        <w:gridCol w:w="1237"/>
        <w:gridCol w:w="1670"/>
      </w:tblGrid>
      <w:tr w:rsidR="00F26503" w:rsidRPr="008B1B5B" w14:paraId="5A4D88BE"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889D87" w14:textId="77777777" w:rsidR="00F26503" w:rsidRPr="008B1B5B" w:rsidRDefault="00000000" w:rsidP="004B385C">
            <w:pPr>
              <w:pStyle w:val="Compact"/>
              <w:spacing w:line="480" w:lineRule="auto"/>
              <w:rPr>
                <w:sz w:val="20"/>
                <w:szCs w:val="20"/>
              </w:rPr>
            </w:pPr>
            <w:r w:rsidRPr="008B1B5B">
              <w:rPr>
                <w:sz w:val="20"/>
                <w:szCs w:val="20"/>
              </w:rPr>
              <w:t>First Author (Year)</w:t>
            </w:r>
          </w:p>
        </w:tc>
        <w:tc>
          <w:tcPr>
            <w:tcW w:w="0" w:type="auto"/>
            <w:tcBorders>
              <w:bottom w:val="none" w:sz="0" w:space="0" w:color="auto"/>
            </w:tcBorders>
          </w:tcPr>
          <w:p w14:paraId="6F1004A1" w14:textId="77777777" w:rsidR="00F26503" w:rsidRPr="008B1B5B" w:rsidRDefault="00000000" w:rsidP="004B385C">
            <w:pPr>
              <w:pStyle w:val="Compact"/>
              <w:spacing w:line="480" w:lineRule="auto"/>
              <w:rPr>
                <w:sz w:val="20"/>
                <w:szCs w:val="20"/>
              </w:rPr>
            </w:pPr>
            <w:r w:rsidRPr="008B1B5B">
              <w:rPr>
                <w:sz w:val="20"/>
                <w:szCs w:val="20"/>
              </w:rPr>
              <w:t>N</w:t>
            </w:r>
          </w:p>
        </w:tc>
        <w:tc>
          <w:tcPr>
            <w:tcW w:w="0" w:type="auto"/>
            <w:tcBorders>
              <w:bottom w:val="none" w:sz="0" w:space="0" w:color="auto"/>
            </w:tcBorders>
          </w:tcPr>
          <w:p w14:paraId="548E845B" w14:textId="77777777" w:rsidR="00F26503" w:rsidRPr="008B1B5B" w:rsidRDefault="00000000" w:rsidP="004B385C">
            <w:pPr>
              <w:pStyle w:val="Compact"/>
              <w:spacing w:line="480" w:lineRule="auto"/>
              <w:rPr>
                <w:sz w:val="20"/>
                <w:szCs w:val="20"/>
              </w:rPr>
            </w:pPr>
            <w:r w:rsidRPr="008B1B5B">
              <w:rPr>
                <w:sz w:val="20"/>
                <w:szCs w:val="20"/>
              </w:rPr>
              <w:t>Method</w:t>
            </w:r>
          </w:p>
        </w:tc>
        <w:tc>
          <w:tcPr>
            <w:tcW w:w="0" w:type="auto"/>
            <w:tcBorders>
              <w:bottom w:val="none" w:sz="0" w:space="0" w:color="auto"/>
            </w:tcBorders>
          </w:tcPr>
          <w:p w14:paraId="7A78783D" w14:textId="77777777" w:rsidR="00F26503" w:rsidRPr="008B1B5B" w:rsidRDefault="00000000" w:rsidP="004B385C">
            <w:pPr>
              <w:pStyle w:val="Compact"/>
              <w:spacing w:line="480" w:lineRule="auto"/>
              <w:rPr>
                <w:sz w:val="20"/>
                <w:szCs w:val="20"/>
              </w:rPr>
            </w:pPr>
            <w:r w:rsidRPr="008B1B5B">
              <w:rPr>
                <w:sz w:val="20"/>
                <w:szCs w:val="20"/>
              </w:rPr>
              <w:t>Software</w:t>
            </w:r>
          </w:p>
        </w:tc>
        <w:tc>
          <w:tcPr>
            <w:tcW w:w="0" w:type="auto"/>
            <w:tcBorders>
              <w:bottom w:val="none" w:sz="0" w:space="0" w:color="auto"/>
            </w:tcBorders>
          </w:tcPr>
          <w:p w14:paraId="7AA9AC8D" w14:textId="77777777" w:rsidR="00F26503" w:rsidRPr="008B1B5B" w:rsidRDefault="00000000" w:rsidP="004B385C">
            <w:pPr>
              <w:pStyle w:val="Compact"/>
              <w:spacing w:line="480" w:lineRule="auto"/>
              <w:rPr>
                <w:sz w:val="20"/>
                <w:szCs w:val="20"/>
              </w:rPr>
            </w:pPr>
            <w:r w:rsidRPr="008B1B5B">
              <w:rPr>
                <w:sz w:val="20"/>
                <w:szCs w:val="20"/>
              </w:rPr>
              <w:t>Reliability</w:t>
            </w:r>
          </w:p>
        </w:tc>
      </w:tr>
      <w:tr w:rsidR="00F26503" w:rsidRPr="008B1B5B" w14:paraId="4F967050" w14:textId="77777777" w:rsidTr="00162683">
        <w:tc>
          <w:tcPr>
            <w:tcW w:w="0" w:type="auto"/>
          </w:tcPr>
          <w:p w14:paraId="6B83D409" w14:textId="77777777" w:rsidR="00F26503" w:rsidRPr="008B1B5B" w:rsidRDefault="00000000" w:rsidP="004B385C">
            <w:pPr>
              <w:pStyle w:val="Compact"/>
              <w:spacing w:line="480" w:lineRule="auto"/>
              <w:rPr>
                <w:sz w:val="20"/>
                <w:szCs w:val="20"/>
              </w:rPr>
            </w:pPr>
            <w:r w:rsidRPr="008B1B5B">
              <w:rPr>
                <w:sz w:val="20"/>
                <w:szCs w:val="20"/>
              </w:rPr>
              <w:t>Alshowaeir (2025)</w:t>
            </w:r>
          </w:p>
        </w:tc>
        <w:tc>
          <w:tcPr>
            <w:tcW w:w="0" w:type="auto"/>
          </w:tcPr>
          <w:p w14:paraId="3B6A5681" w14:textId="77777777" w:rsidR="00F26503" w:rsidRPr="008B1B5B" w:rsidRDefault="00000000" w:rsidP="004B385C">
            <w:pPr>
              <w:pStyle w:val="Compact"/>
              <w:spacing w:line="480" w:lineRule="auto"/>
              <w:rPr>
                <w:sz w:val="20"/>
                <w:szCs w:val="20"/>
              </w:rPr>
            </w:pPr>
            <w:r w:rsidRPr="008B1B5B">
              <w:rPr>
                <w:sz w:val="20"/>
                <w:szCs w:val="20"/>
              </w:rPr>
              <w:t>17</w:t>
            </w:r>
          </w:p>
        </w:tc>
        <w:tc>
          <w:tcPr>
            <w:tcW w:w="0" w:type="auto"/>
          </w:tcPr>
          <w:p w14:paraId="798568CE"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0E128DCA" w14:textId="77777777" w:rsidR="00F26503" w:rsidRPr="008B1B5B" w:rsidRDefault="00000000" w:rsidP="004B385C">
            <w:pPr>
              <w:pStyle w:val="Compact"/>
              <w:spacing w:line="480" w:lineRule="auto"/>
              <w:rPr>
                <w:sz w:val="20"/>
                <w:szCs w:val="20"/>
              </w:rPr>
            </w:pPr>
            <w:r w:rsidRPr="008B1B5B">
              <w:rPr>
                <w:sz w:val="20"/>
                <w:szCs w:val="20"/>
              </w:rPr>
              <w:t>ITK-SNAP</w:t>
            </w:r>
          </w:p>
        </w:tc>
        <w:tc>
          <w:tcPr>
            <w:tcW w:w="0" w:type="auto"/>
          </w:tcPr>
          <w:p w14:paraId="78D64809"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61D19F81" w14:textId="77777777" w:rsidTr="00162683">
        <w:tc>
          <w:tcPr>
            <w:tcW w:w="0" w:type="auto"/>
          </w:tcPr>
          <w:p w14:paraId="595F8E65"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0" w:type="auto"/>
          </w:tcPr>
          <w:p w14:paraId="41E690A8" w14:textId="77777777" w:rsidR="00F26503" w:rsidRPr="008B1B5B" w:rsidRDefault="00000000" w:rsidP="004B385C">
            <w:pPr>
              <w:pStyle w:val="Compact"/>
              <w:spacing w:line="480" w:lineRule="auto"/>
              <w:rPr>
                <w:sz w:val="20"/>
                <w:szCs w:val="20"/>
              </w:rPr>
            </w:pPr>
            <w:r w:rsidRPr="008B1B5B">
              <w:rPr>
                <w:sz w:val="20"/>
                <w:szCs w:val="20"/>
              </w:rPr>
              <w:t>30</w:t>
            </w:r>
          </w:p>
        </w:tc>
        <w:tc>
          <w:tcPr>
            <w:tcW w:w="0" w:type="auto"/>
          </w:tcPr>
          <w:p w14:paraId="45486050"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04A3AA64" w14:textId="77777777" w:rsidR="00F26503" w:rsidRPr="008B1B5B" w:rsidRDefault="00000000" w:rsidP="004B385C">
            <w:pPr>
              <w:pStyle w:val="Compact"/>
              <w:spacing w:line="480" w:lineRule="auto"/>
              <w:rPr>
                <w:sz w:val="20"/>
                <w:szCs w:val="20"/>
              </w:rPr>
            </w:pPr>
            <w:r w:rsidRPr="008B1B5B">
              <w:rPr>
                <w:sz w:val="20"/>
                <w:szCs w:val="20"/>
              </w:rPr>
              <w:t>Custom</w:t>
            </w:r>
          </w:p>
        </w:tc>
        <w:tc>
          <w:tcPr>
            <w:tcW w:w="0" w:type="auto"/>
          </w:tcPr>
          <w:p w14:paraId="15CC8331"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44F3582" w14:textId="77777777" w:rsidTr="00162683">
        <w:tc>
          <w:tcPr>
            <w:tcW w:w="0" w:type="auto"/>
          </w:tcPr>
          <w:p w14:paraId="41E0F440" w14:textId="77777777" w:rsidR="00F26503" w:rsidRPr="008B1B5B" w:rsidRDefault="00000000" w:rsidP="004B385C">
            <w:pPr>
              <w:pStyle w:val="Compact"/>
              <w:spacing w:line="480" w:lineRule="auto"/>
              <w:rPr>
                <w:sz w:val="20"/>
                <w:szCs w:val="20"/>
              </w:rPr>
            </w:pPr>
            <w:r w:rsidRPr="008B1B5B">
              <w:rPr>
                <w:sz w:val="20"/>
                <w:szCs w:val="20"/>
              </w:rPr>
              <w:t>Avery (2018)</w:t>
            </w:r>
          </w:p>
        </w:tc>
        <w:tc>
          <w:tcPr>
            <w:tcW w:w="0" w:type="auto"/>
          </w:tcPr>
          <w:p w14:paraId="6E0713AA" w14:textId="77777777" w:rsidR="00F26503" w:rsidRPr="008B1B5B" w:rsidRDefault="00000000" w:rsidP="004B385C">
            <w:pPr>
              <w:pStyle w:val="Compact"/>
              <w:spacing w:line="480" w:lineRule="auto"/>
              <w:rPr>
                <w:sz w:val="20"/>
                <w:szCs w:val="20"/>
              </w:rPr>
            </w:pPr>
            <w:r w:rsidRPr="008B1B5B">
              <w:rPr>
                <w:sz w:val="20"/>
                <w:szCs w:val="20"/>
              </w:rPr>
              <w:t>42</w:t>
            </w:r>
          </w:p>
        </w:tc>
        <w:tc>
          <w:tcPr>
            <w:tcW w:w="0" w:type="auto"/>
          </w:tcPr>
          <w:p w14:paraId="208A477D"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73E53B15"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3C188911"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52EE9169" w14:textId="77777777" w:rsidTr="00162683">
        <w:tc>
          <w:tcPr>
            <w:tcW w:w="0" w:type="auto"/>
          </w:tcPr>
          <w:p w14:paraId="3DC47805" w14:textId="77777777" w:rsidR="00F26503" w:rsidRPr="008B1B5B" w:rsidRDefault="00000000" w:rsidP="004B385C">
            <w:pPr>
              <w:pStyle w:val="Compact"/>
              <w:spacing w:line="480" w:lineRule="auto"/>
              <w:rPr>
                <w:sz w:val="20"/>
                <w:szCs w:val="20"/>
              </w:rPr>
            </w:pPr>
            <w:r w:rsidRPr="008B1B5B">
              <w:rPr>
                <w:sz w:val="20"/>
                <w:szCs w:val="20"/>
              </w:rPr>
              <w:lastRenderedPageBreak/>
              <w:t>Avery (2023)</w:t>
            </w:r>
          </w:p>
        </w:tc>
        <w:tc>
          <w:tcPr>
            <w:tcW w:w="0" w:type="auto"/>
          </w:tcPr>
          <w:p w14:paraId="353D2FB5" w14:textId="77777777" w:rsidR="00F26503" w:rsidRPr="008B1B5B" w:rsidRDefault="00000000" w:rsidP="004B385C">
            <w:pPr>
              <w:pStyle w:val="Compact"/>
              <w:spacing w:line="480" w:lineRule="auto"/>
              <w:rPr>
                <w:sz w:val="20"/>
                <w:szCs w:val="20"/>
              </w:rPr>
            </w:pPr>
            <w:r w:rsidRPr="008B1B5B">
              <w:rPr>
                <w:sz w:val="20"/>
                <w:szCs w:val="20"/>
              </w:rPr>
              <w:t>35</w:t>
            </w:r>
          </w:p>
        </w:tc>
        <w:tc>
          <w:tcPr>
            <w:tcW w:w="0" w:type="auto"/>
          </w:tcPr>
          <w:p w14:paraId="075C0F12"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71BAD09F"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26E24E9D"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579196E4" w14:textId="77777777" w:rsidTr="00162683">
        <w:tc>
          <w:tcPr>
            <w:tcW w:w="0" w:type="auto"/>
          </w:tcPr>
          <w:p w14:paraId="254D41B6" w14:textId="77777777" w:rsidR="00F26503" w:rsidRPr="008B1B5B" w:rsidRDefault="00000000" w:rsidP="004B385C">
            <w:pPr>
              <w:pStyle w:val="Compact"/>
              <w:spacing w:line="480" w:lineRule="auto"/>
              <w:rPr>
                <w:sz w:val="20"/>
                <w:szCs w:val="20"/>
              </w:rPr>
            </w:pPr>
            <w:r w:rsidRPr="008B1B5B">
              <w:rPr>
                <w:sz w:val="20"/>
                <w:szCs w:val="20"/>
              </w:rPr>
              <w:t>Bennebroek (2022)</w:t>
            </w:r>
          </w:p>
        </w:tc>
        <w:tc>
          <w:tcPr>
            <w:tcW w:w="0" w:type="auto"/>
          </w:tcPr>
          <w:p w14:paraId="1FDEB16B" w14:textId="77777777" w:rsidR="00F26503" w:rsidRPr="008B1B5B" w:rsidRDefault="00000000" w:rsidP="004B385C">
            <w:pPr>
              <w:pStyle w:val="Compact"/>
              <w:spacing w:line="480" w:lineRule="auto"/>
              <w:rPr>
                <w:sz w:val="20"/>
                <w:szCs w:val="20"/>
              </w:rPr>
            </w:pPr>
            <w:r w:rsidRPr="008B1B5B">
              <w:rPr>
                <w:sz w:val="20"/>
                <w:szCs w:val="20"/>
              </w:rPr>
              <w:t>40</w:t>
            </w:r>
          </w:p>
        </w:tc>
        <w:tc>
          <w:tcPr>
            <w:tcW w:w="0" w:type="auto"/>
          </w:tcPr>
          <w:p w14:paraId="3D492898"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3AA71713" w14:textId="77777777" w:rsidR="00F26503" w:rsidRPr="008B1B5B" w:rsidRDefault="00000000" w:rsidP="004B385C">
            <w:pPr>
              <w:pStyle w:val="Compact"/>
              <w:spacing w:line="480" w:lineRule="auto"/>
              <w:rPr>
                <w:sz w:val="20"/>
                <w:szCs w:val="20"/>
              </w:rPr>
            </w:pPr>
            <w:r w:rsidRPr="008B1B5B">
              <w:rPr>
                <w:sz w:val="20"/>
                <w:szCs w:val="20"/>
              </w:rPr>
              <w:t>N/A</w:t>
            </w:r>
          </w:p>
        </w:tc>
        <w:tc>
          <w:tcPr>
            <w:tcW w:w="0" w:type="auto"/>
          </w:tcPr>
          <w:p w14:paraId="372D1529"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BEFCF62" w14:textId="77777777" w:rsidTr="00162683">
        <w:tc>
          <w:tcPr>
            <w:tcW w:w="0" w:type="auto"/>
          </w:tcPr>
          <w:p w14:paraId="0756903C" w14:textId="77777777" w:rsidR="00F26503" w:rsidRPr="008B1B5B" w:rsidRDefault="00000000" w:rsidP="004B385C">
            <w:pPr>
              <w:pStyle w:val="Compact"/>
              <w:spacing w:line="480" w:lineRule="auto"/>
              <w:rPr>
                <w:sz w:val="20"/>
                <w:szCs w:val="20"/>
              </w:rPr>
            </w:pPr>
            <w:r w:rsidRPr="008B1B5B">
              <w:rPr>
                <w:sz w:val="20"/>
                <w:szCs w:val="20"/>
              </w:rPr>
              <w:t>Bennebroek (2024)</w:t>
            </w:r>
          </w:p>
        </w:tc>
        <w:tc>
          <w:tcPr>
            <w:tcW w:w="0" w:type="auto"/>
          </w:tcPr>
          <w:p w14:paraId="1EE7F463" w14:textId="77777777" w:rsidR="00F26503" w:rsidRPr="008B1B5B" w:rsidRDefault="00000000" w:rsidP="004B385C">
            <w:pPr>
              <w:pStyle w:val="Compact"/>
              <w:spacing w:line="480" w:lineRule="auto"/>
              <w:rPr>
                <w:sz w:val="20"/>
                <w:szCs w:val="20"/>
              </w:rPr>
            </w:pPr>
            <w:r w:rsidRPr="008B1B5B">
              <w:rPr>
                <w:sz w:val="20"/>
                <w:szCs w:val="20"/>
              </w:rPr>
              <w:t>56</w:t>
            </w:r>
          </w:p>
        </w:tc>
        <w:tc>
          <w:tcPr>
            <w:tcW w:w="0" w:type="auto"/>
          </w:tcPr>
          <w:p w14:paraId="43974258"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1CD915A5"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4F200F17" w14:textId="77777777" w:rsidR="00F26503" w:rsidRPr="008B1B5B" w:rsidRDefault="00000000" w:rsidP="004B385C">
            <w:pPr>
              <w:pStyle w:val="Compact"/>
              <w:spacing w:line="480" w:lineRule="auto"/>
              <w:rPr>
                <w:sz w:val="20"/>
                <w:szCs w:val="20"/>
              </w:rPr>
            </w:pPr>
            <w:r w:rsidRPr="008B1B5B">
              <w:rPr>
                <w:sz w:val="20"/>
                <w:szCs w:val="20"/>
              </w:rPr>
              <w:t>Yes (ICC 0.96)</w:t>
            </w:r>
          </w:p>
        </w:tc>
      </w:tr>
      <w:tr w:rsidR="00F26503" w:rsidRPr="008B1B5B" w14:paraId="3811757E" w14:textId="77777777" w:rsidTr="00162683">
        <w:tc>
          <w:tcPr>
            <w:tcW w:w="0" w:type="auto"/>
          </w:tcPr>
          <w:p w14:paraId="59F396E6" w14:textId="77777777" w:rsidR="00F26503" w:rsidRPr="008B1B5B" w:rsidRDefault="00000000" w:rsidP="004B385C">
            <w:pPr>
              <w:pStyle w:val="Compact"/>
              <w:spacing w:line="480" w:lineRule="auto"/>
              <w:rPr>
                <w:sz w:val="20"/>
                <w:szCs w:val="20"/>
              </w:rPr>
            </w:pPr>
            <w:r w:rsidRPr="008B1B5B">
              <w:rPr>
                <w:sz w:val="20"/>
                <w:szCs w:val="20"/>
              </w:rPr>
              <w:t>D’Arco (2017)</w:t>
            </w:r>
          </w:p>
        </w:tc>
        <w:tc>
          <w:tcPr>
            <w:tcW w:w="0" w:type="auto"/>
          </w:tcPr>
          <w:p w14:paraId="70F0ED83" w14:textId="77777777" w:rsidR="00F26503" w:rsidRPr="008B1B5B" w:rsidRDefault="00000000" w:rsidP="004B385C">
            <w:pPr>
              <w:pStyle w:val="Compact"/>
              <w:spacing w:line="480" w:lineRule="auto"/>
              <w:rPr>
                <w:sz w:val="20"/>
                <w:szCs w:val="20"/>
              </w:rPr>
            </w:pPr>
            <w:r w:rsidRPr="008B1B5B">
              <w:rPr>
                <w:sz w:val="20"/>
                <w:szCs w:val="20"/>
              </w:rPr>
              <w:t>24</w:t>
            </w:r>
          </w:p>
        </w:tc>
        <w:tc>
          <w:tcPr>
            <w:tcW w:w="0" w:type="auto"/>
          </w:tcPr>
          <w:p w14:paraId="65D4B35F"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2BF23C39" w14:textId="77777777" w:rsidR="00F26503" w:rsidRPr="008B1B5B" w:rsidRDefault="00000000" w:rsidP="004B385C">
            <w:pPr>
              <w:pStyle w:val="Compact"/>
              <w:spacing w:line="480" w:lineRule="auto"/>
              <w:rPr>
                <w:sz w:val="20"/>
                <w:szCs w:val="20"/>
              </w:rPr>
            </w:pPr>
            <w:r w:rsidRPr="008B1B5B">
              <w:rPr>
                <w:sz w:val="20"/>
                <w:szCs w:val="20"/>
              </w:rPr>
              <w:t>Horos</w:t>
            </w:r>
          </w:p>
        </w:tc>
        <w:tc>
          <w:tcPr>
            <w:tcW w:w="0" w:type="auto"/>
          </w:tcPr>
          <w:p w14:paraId="06FD2217"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29DEFEBC" w14:textId="77777777" w:rsidTr="00162683">
        <w:tc>
          <w:tcPr>
            <w:tcW w:w="0" w:type="auto"/>
          </w:tcPr>
          <w:p w14:paraId="10D531E7"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0" w:type="auto"/>
          </w:tcPr>
          <w:p w14:paraId="5DE81733" w14:textId="41BFD7E1" w:rsidR="00F26503" w:rsidRPr="008B1B5B" w:rsidRDefault="00D90C25" w:rsidP="004B385C">
            <w:pPr>
              <w:pStyle w:val="Compact"/>
              <w:spacing w:line="480" w:lineRule="auto"/>
              <w:rPr>
                <w:sz w:val="20"/>
                <w:szCs w:val="20"/>
              </w:rPr>
            </w:pPr>
            <w:r>
              <w:rPr>
                <w:sz w:val="20"/>
                <w:szCs w:val="20"/>
              </w:rPr>
              <w:t>33</w:t>
            </w:r>
          </w:p>
        </w:tc>
        <w:tc>
          <w:tcPr>
            <w:tcW w:w="0" w:type="auto"/>
          </w:tcPr>
          <w:p w14:paraId="2BCEE6C8"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3B7845AC" w14:textId="77777777" w:rsidR="00F26503" w:rsidRPr="008B1B5B" w:rsidRDefault="00000000" w:rsidP="004B385C">
            <w:pPr>
              <w:pStyle w:val="Compact"/>
              <w:spacing w:line="480" w:lineRule="auto"/>
              <w:rPr>
                <w:sz w:val="20"/>
                <w:szCs w:val="20"/>
              </w:rPr>
            </w:pPr>
            <w:r w:rsidRPr="008B1B5B">
              <w:rPr>
                <w:sz w:val="20"/>
                <w:szCs w:val="20"/>
              </w:rPr>
              <w:t>ITK-SNAP</w:t>
            </w:r>
          </w:p>
        </w:tc>
        <w:tc>
          <w:tcPr>
            <w:tcW w:w="0" w:type="auto"/>
          </w:tcPr>
          <w:p w14:paraId="1015A81C"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44B490F3" w14:textId="77777777" w:rsidTr="00162683">
        <w:tc>
          <w:tcPr>
            <w:tcW w:w="0" w:type="auto"/>
          </w:tcPr>
          <w:p w14:paraId="6ADF2D7D" w14:textId="77777777" w:rsidR="00F26503" w:rsidRPr="008B1B5B" w:rsidRDefault="00000000" w:rsidP="004B385C">
            <w:pPr>
              <w:pStyle w:val="Compact"/>
              <w:spacing w:line="480" w:lineRule="auto"/>
              <w:rPr>
                <w:sz w:val="20"/>
                <w:szCs w:val="20"/>
              </w:rPr>
            </w:pPr>
            <w:r w:rsidRPr="008B1B5B">
              <w:rPr>
                <w:sz w:val="20"/>
                <w:szCs w:val="20"/>
              </w:rPr>
              <w:t>Jiang (2023)</w:t>
            </w:r>
          </w:p>
        </w:tc>
        <w:tc>
          <w:tcPr>
            <w:tcW w:w="0" w:type="auto"/>
          </w:tcPr>
          <w:p w14:paraId="0EE10149" w14:textId="77777777" w:rsidR="00F26503" w:rsidRPr="008B1B5B" w:rsidRDefault="00000000" w:rsidP="004B385C">
            <w:pPr>
              <w:pStyle w:val="Compact"/>
              <w:spacing w:line="480" w:lineRule="auto"/>
              <w:rPr>
                <w:sz w:val="20"/>
                <w:szCs w:val="20"/>
              </w:rPr>
            </w:pPr>
            <w:r w:rsidRPr="008B1B5B">
              <w:rPr>
                <w:sz w:val="20"/>
                <w:szCs w:val="20"/>
              </w:rPr>
              <w:t>140</w:t>
            </w:r>
          </w:p>
        </w:tc>
        <w:tc>
          <w:tcPr>
            <w:tcW w:w="0" w:type="auto"/>
          </w:tcPr>
          <w:p w14:paraId="68FAFE25" w14:textId="77777777" w:rsidR="00F26503" w:rsidRPr="008B1B5B" w:rsidRDefault="00000000" w:rsidP="004B385C">
            <w:pPr>
              <w:pStyle w:val="Compact"/>
              <w:spacing w:line="480" w:lineRule="auto"/>
              <w:rPr>
                <w:sz w:val="20"/>
                <w:szCs w:val="20"/>
              </w:rPr>
            </w:pPr>
            <w:r w:rsidRPr="008B1B5B">
              <w:rPr>
                <w:sz w:val="20"/>
                <w:szCs w:val="20"/>
              </w:rPr>
              <w:t>Auto</w:t>
            </w:r>
          </w:p>
        </w:tc>
        <w:tc>
          <w:tcPr>
            <w:tcW w:w="0" w:type="auto"/>
          </w:tcPr>
          <w:p w14:paraId="7FF4CD38" w14:textId="77777777" w:rsidR="00F26503" w:rsidRPr="008B1B5B" w:rsidRDefault="00000000" w:rsidP="004B385C">
            <w:pPr>
              <w:pStyle w:val="Compact"/>
              <w:spacing w:line="480" w:lineRule="auto"/>
              <w:rPr>
                <w:sz w:val="20"/>
                <w:szCs w:val="20"/>
              </w:rPr>
            </w:pPr>
            <w:r w:rsidRPr="008B1B5B">
              <w:rPr>
                <w:sz w:val="20"/>
                <w:szCs w:val="20"/>
              </w:rPr>
              <w:t>SwinUNETR</w:t>
            </w:r>
          </w:p>
        </w:tc>
        <w:tc>
          <w:tcPr>
            <w:tcW w:w="0" w:type="auto"/>
          </w:tcPr>
          <w:p w14:paraId="6D71E03E" w14:textId="77777777" w:rsidR="00F26503" w:rsidRPr="008B1B5B" w:rsidRDefault="00000000" w:rsidP="004B385C">
            <w:pPr>
              <w:pStyle w:val="Compact"/>
              <w:spacing w:line="480" w:lineRule="auto"/>
              <w:rPr>
                <w:sz w:val="20"/>
                <w:szCs w:val="20"/>
              </w:rPr>
            </w:pPr>
            <w:r w:rsidRPr="008B1B5B">
              <w:rPr>
                <w:sz w:val="20"/>
                <w:szCs w:val="20"/>
              </w:rPr>
              <w:t>DSC 0.791</w:t>
            </w:r>
          </w:p>
        </w:tc>
      </w:tr>
      <w:tr w:rsidR="00F26503" w:rsidRPr="008B1B5B" w14:paraId="699B4C12" w14:textId="77777777" w:rsidTr="00162683">
        <w:tc>
          <w:tcPr>
            <w:tcW w:w="0" w:type="auto"/>
          </w:tcPr>
          <w:p w14:paraId="5E299FCE" w14:textId="77777777" w:rsidR="00F26503" w:rsidRPr="008B1B5B" w:rsidRDefault="00000000" w:rsidP="004B385C">
            <w:pPr>
              <w:pStyle w:val="Compact"/>
              <w:spacing w:line="480" w:lineRule="auto"/>
              <w:rPr>
                <w:sz w:val="20"/>
                <w:szCs w:val="20"/>
              </w:rPr>
            </w:pPr>
            <w:r w:rsidRPr="008B1B5B">
              <w:rPr>
                <w:sz w:val="20"/>
                <w:szCs w:val="20"/>
              </w:rPr>
              <w:t>Kelly (2012)</w:t>
            </w:r>
          </w:p>
        </w:tc>
        <w:tc>
          <w:tcPr>
            <w:tcW w:w="0" w:type="auto"/>
          </w:tcPr>
          <w:p w14:paraId="7DE48064" w14:textId="77777777" w:rsidR="00F26503" w:rsidRPr="008B1B5B" w:rsidRDefault="00000000" w:rsidP="004B385C">
            <w:pPr>
              <w:pStyle w:val="Compact"/>
              <w:spacing w:line="480" w:lineRule="auto"/>
              <w:rPr>
                <w:sz w:val="20"/>
                <w:szCs w:val="20"/>
              </w:rPr>
            </w:pPr>
            <w:r w:rsidRPr="008B1B5B">
              <w:rPr>
                <w:sz w:val="20"/>
                <w:szCs w:val="20"/>
              </w:rPr>
              <w:t>42</w:t>
            </w:r>
          </w:p>
        </w:tc>
        <w:tc>
          <w:tcPr>
            <w:tcW w:w="0" w:type="auto"/>
          </w:tcPr>
          <w:p w14:paraId="421E855F"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27EF6FE5" w14:textId="77777777" w:rsidR="00F26503" w:rsidRPr="008B1B5B" w:rsidRDefault="00000000" w:rsidP="004B385C">
            <w:pPr>
              <w:pStyle w:val="Compact"/>
              <w:spacing w:line="480" w:lineRule="auto"/>
              <w:rPr>
                <w:sz w:val="20"/>
                <w:szCs w:val="20"/>
              </w:rPr>
            </w:pPr>
            <w:r w:rsidRPr="008B1B5B">
              <w:rPr>
                <w:sz w:val="20"/>
                <w:szCs w:val="20"/>
              </w:rPr>
              <w:t>N/A</w:t>
            </w:r>
          </w:p>
        </w:tc>
        <w:tc>
          <w:tcPr>
            <w:tcW w:w="0" w:type="auto"/>
          </w:tcPr>
          <w:p w14:paraId="27A46AA0"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3879E8DA" w14:textId="77777777" w:rsidTr="00162683">
        <w:tc>
          <w:tcPr>
            <w:tcW w:w="0" w:type="auto"/>
          </w:tcPr>
          <w:p w14:paraId="05C2477A" w14:textId="77777777" w:rsidR="00F26503" w:rsidRPr="008B1B5B" w:rsidRDefault="00000000" w:rsidP="004B385C">
            <w:pPr>
              <w:pStyle w:val="Compact"/>
              <w:spacing w:line="480" w:lineRule="auto"/>
              <w:rPr>
                <w:sz w:val="20"/>
                <w:szCs w:val="20"/>
              </w:rPr>
            </w:pPr>
            <w:r w:rsidRPr="008B1B5B">
              <w:rPr>
                <w:sz w:val="20"/>
                <w:szCs w:val="20"/>
              </w:rPr>
              <w:t>Kilian (2022)</w:t>
            </w:r>
          </w:p>
        </w:tc>
        <w:tc>
          <w:tcPr>
            <w:tcW w:w="0" w:type="auto"/>
          </w:tcPr>
          <w:p w14:paraId="093CCD3E" w14:textId="77777777" w:rsidR="00F26503" w:rsidRPr="008B1B5B" w:rsidRDefault="00000000" w:rsidP="004B385C">
            <w:pPr>
              <w:pStyle w:val="Compact"/>
              <w:spacing w:line="480" w:lineRule="auto"/>
              <w:rPr>
                <w:sz w:val="20"/>
                <w:szCs w:val="20"/>
              </w:rPr>
            </w:pPr>
            <w:r w:rsidRPr="008B1B5B">
              <w:rPr>
                <w:sz w:val="20"/>
                <w:szCs w:val="20"/>
              </w:rPr>
              <w:t>292</w:t>
            </w:r>
          </w:p>
        </w:tc>
        <w:tc>
          <w:tcPr>
            <w:tcW w:w="0" w:type="auto"/>
          </w:tcPr>
          <w:p w14:paraId="7C9A86A8"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4F2CD1A4" w14:textId="77777777" w:rsidR="00F26503" w:rsidRPr="008B1B5B" w:rsidRDefault="00000000" w:rsidP="004B385C">
            <w:pPr>
              <w:pStyle w:val="Compact"/>
              <w:spacing w:line="480" w:lineRule="auto"/>
              <w:rPr>
                <w:sz w:val="20"/>
                <w:szCs w:val="20"/>
              </w:rPr>
            </w:pPr>
            <w:r w:rsidRPr="008B1B5B">
              <w:rPr>
                <w:sz w:val="20"/>
                <w:szCs w:val="20"/>
              </w:rPr>
              <w:t>BrainLab</w:t>
            </w:r>
          </w:p>
        </w:tc>
        <w:tc>
          <w:tcPr>
            <w:tcW w:w="0" w:type="auto"/>
          </w:tcPr>
          <w:p w14:paraId="05736F1A"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2AB40BF6" w14:textId="77777777" w:rsidTr="00162683">
        <w:tc>
          <w:tcPr>
            <w:tcW w:w="0" w:type="auto"/>
          </w:tcPr>
          <w:p w14:paraId="37E6B3B6" w14:textId="77777777" w:rsidR="00F26503" w:rsidRPr="008B1B5B" w:rsidRDefault="00000000" w:rsidP="004B385C">
            <w:pPr>
              <w:pStyle w:val="Compact"/>
              <w:spacing w:line="480" w:lineRule="auto"/>
              <w:rPr>
                <w:sz w:val="20"/>
                <w:szCs w:val="20"/>
              </w:rPr>
            </w:pPr>
            <w:r w:rsidRPr="008B1B5B">
              <w:rPr>
                <w:sz w:val="20"/>
                <w:szCs w:val="20"/>
              </w:rPr>
              <w:t>Lambron (2016)</w:t>
            </w:r>
          </w:p>
        </w:tc>
        <w:tc>
          <w:tcPr>
            <w:tcW w:w="0" w:type="auto"/>
          </w:tcPr>
          <w:p w14:paraId="28890FA8" w14:textId="77777777" w:rsidR="00F26503" w:rsidRPr="008B1B5B" w:rsidRDefault="00000000" w:rsidP="004B385C">
            <w:pPr>
              <w:pStyle w:val="Compact"/>
              <w:spacing w:line="480" w:lineRule="auto"/>
              <w:rPr>
                <w:sz w:val="20"/>
                <w:szCs w:val="20"/>
              </w:rPr>
            </w:pPr>
            <w:r w:rsidRPr="008B1B5B">
              <w:rPr>
                <w:sz w:val="20"/>
                <w:szCs w:val="20"/>
              </w:rPr>
              <w:t>20</w:t>
            </w:r>
          </w:p>
        </w:tc>
        <w:tc>
          <w:tcPr>
            <w:tcW w:w="0" w:type="auto"/>
          </w:tcPr>
          <w:p w14:paraId="2D2A5EE6"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4D87603E"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5D83F753" w14:textId="77777777" w:rsidR="00F26503" w:rsidRPr="008B1B5B" w:rsidRDefault="00000000" w:rsidP="004B385C">
            <w:pPr>
              <w:pStyle w:val="Compact"/>
              <w:spacing w:line="480" w:lineRule="auto"/>
              <w:rPr>
                <w:sz w:val="20"/>
                <w:szCs w:val="20"/>
              </w:rPr>
            </w:pPr>
            <w:r w:rsidRPr="008B1B5B">
              <w:rPr>
                <w:sz w:val="20"/>
                <w:szCs w:val="20"/>
              </w:rPr>
              <w:t>Yes (κ 0.56–1.0)</w:t>
            </w:r>
          </w:p>
        </w:tc>
      </w:tr>
      <w:tr w:rsidR="00F26503" w:rsidRPr="008B1B5B" w14:paraId="51F5B36A" w14:textId="77777777" w:rsidTr="00162683">
        <w:tc>
          <w:tcPr>
            <w:tcW w:w="0" w:type="auto"/>
          </w:tcPr>
          <w:p w14:paraId="583BA9EB" w14:textId="77777777" w:rsidR="00F26503" w:rsidRPr="008B1B5B" w:rsidRDefault="00000000" w:rsidP="004B385C">
            <w:pPr>
              <w:pStyle w:val="Compact"/>
              <w:spacing w:line="480" w:lineRule="auto"/>
              <w:rPr>
                <w:sz w:val="20"/>
                <w:szCs w:val="20"/>
              </w:rPr>
            </w:pPr>
            <w:r w:rsidRPr="008B1B5B">
              <w:rPr>
                <w:sz w:val="20"/>
                <w:szCs w:val="20"/>
              </w:rPr>
              <w:t>Maloney (2021)</w:t>
            </w:r>
          </w:p>
        </w:tc>
        <w:tc>
          <w:tcPr>
            <w:tcW w:w="0" w:type="auto"/>
          </w:tcPr>
          <w:p w14:paraId="03F27624" w14:textId="77777777" w:rsidR="00F26503" w:rsidRPr="008B1B5B" w:rsidRDefault="00000000" w:rsidP="004B385C">
            <w:pPr>
              <w:pStyle w:val="Compact"/>
              <w:spacing w:line="480" w:lineRule="auto"/>
              <w:rPr>
                <w:sz w:val="20"/>
                <w:szCs w:val="20"/>
              </w:rPr>
            </w:pPr>
            <w:r w:rsidRPr="008B1B5B">
              <w:rPr>
                <w:sz w:val="20"/>
                <w:szCs w:val="20"/>
              </w:rPr>
              <w:t>66</w:t>
            </w:r>
          </w:p>
        </w:tc>
        <w:tc>
          <w:tcPr>
            <w:tcW w:w="0" w:type="auto"/>
          </w:tcPr>
          <w:p w14:paraId="07AAE76C"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427CD162"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49796A74" w14:textId="77777777" w:rsidR="00F26503" w:rsidRPr="008B1B5B" w:rsidRDefault="00000000" w:rsidP="004B385C">
            <w:pPr>
              <w:pStyle w:val="Compact"/>
              <w:spacing w:line="480" w:lineRule="auto"/>
              <w:rPr>
                <w:sz w:val="20"/>
                <w:szCs w:val="20"/>
              </w:rPr>
            </w:pPr>
            <w:r w:rsidRPr="008B1B5B">
              <w:rPr>
                <w:sz w:val="20"/>
                <w:szCs w:val="20"/>
              </w:rPr>
              <w:t>Yes (κ 0.47–0.69)</w:t>
            </w:r>
          </w:p>
        </w:tc>
      </w:tr>
      <w:tr w:rsidR="00F26503" w:rsidRPr="008B1B5B" w14:paraId="442D6FB8" w14:textId="77777777" w:rsidTr="00162683">
        <w:tc>
          <w:tcPr>
            <w:tcW w:w="0" w:type="auto"/>
          </w:tcPr>
          <w:p w14:paraId="59F0CA17" w14:textId="77777777" w:rsidR="00F26503" w:rsidRPr="008B1B5B" w:rsidRDefault="00000000" w:rsidP="004B385C">
            <w:pPr>
              <w:pStyle w:val="Compact"/>
              <w:spacing w:line="480" w:lineRule="auto"/>
              <w:rPr>
                <w:sz w:val="20"/>
                <w:szCs w:val="20"/>
              </w:rPr>
            </w:pPr>
            <w:r w:rsidRPr="008B1B5B">
              <w:rPr>
                <w:sz w:val="20"/>
                <w:szCs w:val="20"/>
              </w:rPr>
              <w:t>Marsault (2019)</w:t>
            </w:r>
          </w:p>
        </w:tc>
        <w:tc>
          <w:tcPr>
            <w:tcW w:w="0" w:type="auto"/>
          </w:tcPr>
          <w:p w14:paraId="0585B35E" w14:textId="77777777" w:rsidR="00F26503" w:rsidRPr="008B1B5B" w:rsidRDefault="00000000" w:rsidP="004B385C">
            <w:pPr>
              <w:pStyle w:val="Compact"/>
              <w:spacing w:line="480" w:lineRule="auto"/>
              <w:rPr>
                <w:sz w:val="20"/>
                <w:szCs w:val="20"/>
              </w:rPr>
            </w:pPr>
            <w:r w:rsidRPr="008B1B5B">
              <w:rPr>
                <w:sz w:val="20"/>
                <w:szCs w:val="20"/>
              </w:rPr>
              <w:t>32</w:t>
            </w:r>
          </w:p>
        </w:tc>
        <w:tc>
          <w:tcPr>
            <w:tcW w:w="0" w:type="auto"/>
          </w:tcPr>
          <w:p w14:paraId="753EDCE9"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07ADC697" w14:textId="77777777" w:rsidR="00F26503" w:rsidRPr="008B1B5B" w:rsidRDefault="00000000" w:rsidP="004B385C">
            <w:pPr>
              <w:pStyle w:val="Compact"/>
              <w:spacing w:line="480" w:lineRule="auto"/>
              <w:rPr>
                <w:sz w:val="20"/>
                <w:szCs w:val="20"/>
              </w:rPr>
            </w:pPr>
            <w:r w:rsidRPr="008B1B5B">
              <w:rPr>
                <w:sz w:val="20"/>
                <w:szCs w:val="20"/>
              </w:rPr>
              <w:t>N/A</w:t>
            </w:r>
          </w:p>
        </w:tc>
        <w:tc>
          <w:tcPr>
            <w:tcW w:w="0" w:type="auto"/>
          </w:tcPr>
          <w:p w14:paraId="30A850B8" w14:textId="77777777" w:rsidR="00F26503" w:rsidRPr="008B1B5B" w:rsidRDefault="00000000" w:rsidP="004B385C">
            <w:pPr>
              <w:pStyle w:val="Compact"/>
              <w:spacing w:line="480" w:lineRule="auto"/>
              <w:rPr>
                <w:sz w:val="20"/>
                <w:szCs w:val="20"/>
              </w:rPr>
            </w:pPr>
            <w:r w:rsidRPr="008B1B5B">
              <w:rPr>
                <w:sz w:val="20"/>
                <w:szCs w:val="20"/>
              </w:rPr>
              <w:t>Yes (κ 0.87)</w:t>
            </w:r>
          </w:p>
        </w:tc>
      </w:tr>
      <w:tr w:rsidR="00F26503" w:rsidRPr="008B1B5B" w14:paraId="577D4A6E" w14:textId="77777777" w:rsidTr="00162683">
        <w:tc>
          <w:tcPr>
            <w:tcW w:w="0" w:type="auto"/>
          </w:tcPr>
          <w:p w14:paraId="1E23CD9F" w14:textId="77777777" w:rsidR="00F26503" w:rsidRPr="008B1B5B" w:rsidRDefault="00000000" w:rsidP="004B385C">
            <w:pPr>
              <w:pStyle w:val="Compact"/>
              <w:spacing w:line="480" w:lineRule="auto"/>
              <w:rPr>
                <w:sz w:val="20"/>
                <w:szCs w:val="20"/>
              </w:rPr>
            </w:pPr>
            <w:r w:rsidRPr="008B1B5B">
              <w:rPr>
                <w:sz w:val="20"/>
                <w:szCs w:val="20"/>
              </w:rPr>
              <w:t>Nalepa (2022)</w:t>
            </w:r>
          </w:p>
        </w:tc>
        <w:tc>
          <w:tcPr>
            <w:tcW w:w="0" w:type="auto"/>
          </w:tcPr>
          <w:p w14:paraId="5E941631" w14:textId="77777777" w:rsidR="00F26503" w:rsidRPr="008B1B5B" w:rsidRDefault="00000000" w:rsidP="004B385C">
            <w:pPr>
              <w:pStyle w:val="Compact"/>
              <w:spacing w:line="480" w:lineRule="auto"/>
              <w:rPr>
                <w:sz w:val="20"/>
                <w:szCs w:val="20"/>
              </w:rPr>
            </w:pPr>
            <w:r w:rsidRPr="008B1B5B">
              <w:rPr>
                <w:sz w:val="20"/>
                <w:szCs w:val="20"/>
              </w:rPr>
              <w:t>75</w:t>
            </w:r>
          </w:p>
        </w:tc>
        <w:tc>
          <w:tcPr>
            <w:tcW w:w="0" w:type="auto"/>
          </w:tcPr>
          <w:p w14:paraId="72242FF0" w14:textId="77777777" w:rsidR="00F26503" w:rsidRPr="008B1B5B" w:rsidRDefault="00000000" w:rsidP="004B385C">
            <w:pPr>
              <w:pStyle w:val="Compact"/>
              <w:spacing w:line="480" w:lineRule="auto"/>
              <w:rPr>
                <w:sz w:val="20"/>
                <w:szCs w:val="20"/>
              </w:rPr>
            </w:pPr>
            <w:r w:rsidRPr="008B1B5B">
              <w:rPr>
                <w:sz w:val="20"/>
                <w:szCs w:val="20"/>
              </w:rPr>
              <w:t>Auto</w:t>
            </w:r>
          </w:p>
        </w:tc>
        <w:tc>
          <w:tcPr>
            <w:tcW w:w="0" w:type="auto"/>
          </w:tcPr>
          <w:p w14:paraId="714FF7BB" w14:textId="77777777" w:rsidR="00F26503" w:rsidRPr="008B1B5B" w:rsidRDefault="00000000" w:rsidP="004B385C">
            <w:pPr>
              <w:pStyle w:val="Compact"/>
              <w:spacing w:line="480" w:lineRule="auto"/>
              <w:rPr>
                <w:sz w:val="20"/>
                <w:szCs w:val="20"/>
              </w:rPr>
            </w:pPr>
            <w:r w:rsidRPr="008B1B5B">
              <w:rPr>
                <w:sz w:val="20"/>
                <w:szCs w:val="20"/>
              </w:rPr>
              <w:t>nnU-Net</w:t>
            </w:r>
          </w:p>
        </w:tc>
        <w:tc>
          <w:tcPr>
            <w:tcW w:w="0" w:type="auto"/>
          </w:tcPr>
          <w:p w14:paraId="23DFB05B" w14:textId="77777777" w:rsidR="00F26503" w:rsidRPr="008B1B5B" w:rsidRDefault="00000000" w:rsidP="004B385C">
            <w:pPr>
              <w:pStyle w:val="Compact"/>
              <w:spacing w:line="480" w:lineRule="auto"/>
              <w:rPr>
                <w:sz w:val="20"/>
                <w:szCs w:val="20"/>
              </w:rPr>
            </w:pPr>
            <w:r w:rsidRPr="008B1B5B">
              <w:rPr>
                <w:sz w:val="20"/>
                <w:szCs w:val="20"/>
              </w:rPr>
              <w:t>DSC reported</w:t>
            </w:r>
          </w:p>
        </w:tc>
      </w:tr>
      <w:tr w:rsidR="00F26503" w:rsidRPr="008B1B5B" w14:paraId="550E93DC" w14:textId="77777777" w:rsidTr="00162683">
        <w:tc>
          <w:tcPr>
            <w:tcW w:w="0" w:type="auto"/>
          </w:tcPr>
          <w:p w14:paraId="7C9D40B7" w14:textId="77777777" w:rsidR="00F26503" w:rsidRPr="008B1B5B" w:rsidRDefault="00000000" w:rsidP="004B385C">
            <w:pPr>
              <w:pStyle w:val="Compact"/>
              <w:spacing w:line="480" w:lineRule="auto"/>
              <w:rPr>
                <w:sz w:val="20"/>
                <w:szCs w:val="20"/>
              </w:rPr>
            </w:pPr>
            <w:r w:rsidRPr="008B1B5B">
              <w:rPr>
                <w:sz w:val="20"/>
                <w:szCs w:val="20"/>
              </w:rPr>
              <w:t>Shofty (2011)</w:t>
            </w:r>
          </w:p>
        </w:tc>
        <w:tc>
          <w:tcPr>
            <w:tcW w:w="0" w:type="auto"/>
          </w:tcPr>
          <w:p w14:paraId="37C895C1" w14:textId="77777777" w:rsidR="00F26503" w:rsidRPr="008B1B5B" w:rsidRDefault="00000000" w:rsidP="004B385C">
            <w:pPr>
              <w:pStyle w:val="Compact"/>
              <w:spacing w:line="480" w:lineRule="auto"/>
              <w:rPr>
                <w:sz w:val="20"/>
                <w:szCs w:val="20"/>
              </w:rPr>
            </w:pPr>
            <w:r w:rsidRPr="008B1B5B">
              <w:rPr>
                <w:sz w:val="20"/>
                <w:szCs w:val="20"/>
              </w:rPr>
              <w:t>30</w:t>
            </w:r>
          </w:p>
        </w:tc>
        <w:tc>
          <w:tcPr>
            <w:tcW w:w="0" w:type="auto"/>
          </w:tcPr>
          <w:p w14:paraId="2525EEE6"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3B4AA29B" w14:textId="77777777" w:rsidR="00F26503" w:rsidRPr="008B1B5B" w:rsidRDefault="00000000" w:rsidP="004B385C">
            <w:pPr>
              <w:pStyle w:val="Compact"/>
              <w:spacing w:line="480" w:lineRule="auto"/>
              <w:rPr>
                <w:sz w:val="20"/>
                <w:szCs w:val="20"/>
              </w:rPr>
            </w:pPr>
            <w:r w:rsidRPr="008B1B5B">
              <w:rPr>
                <w:sz w:val="20"/>
                <w:szCs w:val="20"/>
              </w:rPr>
              <w:t>Analyze</w:t>
            </w:r>
          </w:p>
        </w:tc>
        <w:tc>
          <w:tcPr>
            <w:tcW w:w="0" w:type="auto"/>
          </w:tcPr>
          <w:p w14:paraId="394CDEDD"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188EDF9" w14:textId="77777777" w:rsidTr="00162683">
        <w:tc>
          <w:tcPr>
            <w:tcW w:w="0" w:type="auto"/>
          </w:tcPr>
          <w:p w14:paraId="2B4B3504" w14:textId="77777777" w:rsidR="00F26503" w:rsidRPr="008B1B5B" w:rsidRDefault="00000000" w:rsidP="004B385C">
            <w:pPr>
              <w:pStyle w:val="Compact"/>
              <w:spacing w:line="480" w:lineRule="auto"/>
              <w:rPr>
                <w:sz w:val="20"/>
                <w:szCs w:val="20"/>
              </w:rPr>
            </w:pPr>
            <w:r w:rsidRPr="008B1B5B">
              <w:rPr>
                <w:sz w:val="20"/>
                <w:szCs w:val="20"/>
              </w:rPr>
              <w:t>Yeom (2013)</w:t>
            </w:r>
          </w:p>
        </w:tc>
        <w:tc>
          <w:tcPr>
            <w:tcW w:w="0" w:type="auto"/>
          </w:tcPr>
          <w:p w14:paraId="7F3DA8F9" w14:textId="77777777" w:rsidR="00F26503" w:rsidRPr="008B1B5B" w:rsidRDefault="00000000" w:rsidP="004B385C">
            <w:pPr>
              <w:pStyle w:val="Compact"/>
              <w:spacing w:line="480" w:lineRule="auto"/>
              <w:rPr>
                <w:sz w:val="20"/>
                <w:szCs w:val="20"/>
              </w:rPr>
            </w:pPr>
            <w:r w:rsidRPr="008B1B5B">
              <w:rPr>
                <w:sz w:val="20"/>
                <w:szCs w:val="20"/>
              </w:rPr>
              <w:t>26</w:t>
            </w:r>
          </w:p>
        </w:tc>
        <w:tc>
          <w:tcPr>
            <w:tcW w:w="0" w:type="auto"/>
          </w:tcPr>
          <w:p w14:paraId="7B886671"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3ACF0559" w14:textId="77777777" w:rsidR="00F26503" w:rsidRPr="008B1B5B" w:rsidRDefault="00000000" w:rsidP="004B385C">
            <w:pPr>
              <w:pStyle w:val="Compact"/>
              <w:spacing w:line="480" w:lineRule="auto"/>
              <w:rPr>
                <w:sz w:val="20"/>
                <w:szCs w:val="20"/>
              </w:rPr>
            </w:pPr>
            <w:r w:rsidRPr="008B1B5B">
              <w:rPr>
                <w:sz w:val="20"/>
                <w:szCs w:val="20"/>
              </w:rPr>
              <w:t>Custom</w:t>
            </w:r>
          </w:p>
        </w:tc>
        <w:tc>
          <w:tcPr>
            <w:tcW w:w="0" w:type="auto"/>
          </w:tcPr>
          <w:p w14:paraId="330CEA65" w14:textId="77777777" w:rsidR="00F26503" w:rsidRPr="008B1B5B" w:rsidRDefault="00000000" w:rsidP="004B385C">
            <w:pPr>
              <w:pStyle w:val="Compact"/>
              <w:spacing w:line="480" w:lineRule="auto"/>
              <w:rPr>
                <w:sz w:val="20"/>
                <w:szCs w:val="20"/>
              </w:rPr>
            </w:pPr>
            <w:r w:rsidRPr="008B1B5B">
              <w:rPr>
                <w:sz w:val="20"/>
                <w:szCs w:val="20"/>
              </w:rPr>
              <w:t>Yes (ICC 0.998)</w:t>
            </w:r>
          </w:p>
        </w:tc>
      </w:tr>
    </w:tbl>
    <w:p w14:paraId="4D1E35A9" w14:textId="0C39E1EB" w:rsidR="00F26503" w:rsidRPr="008B1B5B" w:rsidRDefault="00000000" w:rsidP="004B385C">
      <w:pPr>
        <w:pStyle w:val="BodyText"/>
        <w:spacing w:line="480" w:lineRule="auto"/>
        <w:rPr>
          <w:sz w:val="20"/>
          <w:szCs w:val="20"/>
        </w:rPr>
      </w:pPr>
      <w:r w:rsidRPr="008B1B5B">
        <w:rPr>
          <w:i/>
          <w:iCs/>
          <w:sz w:val="20"/>
          <w:szCs w:val="20"/>
        </w:rPr>
        <w:t xml:space="preserve">Abbreviations: Semi-auto = semi-automated; Approx = approximation formula; Auto = automated deep learning; NR = not reported; ICC = intraclass correlation coefficient; κ = Kappa; DSC = Dice similarity coefficient. </w:t>
      </w:r>
      <w:r w:rsidR="003D1430" w:rsidRPr="008B1B5B">
        <w:rPr>
          <w:i/>
          <w:iCs/>
          <w:sz w:val="20"/>
          <w:szCs w:val="20"/>
        </w:rPr>
        <w:t>Table shows 17 representative studies selected to illustrate methodological diversity across time periods and measurement approaches; complete characteristics of all 28 studies in Supplementary Material 4.</w:t>
      </w:r>
    </w:p>
    <w:p w14:paraId="1AFD63D2" w14:textId="77777777" w:rsidR="00F26503" w:rsidRPr="008B1B5B" w:rsidRDefault="00000000" w:rsidP="004B385C">
      <w:pPr>
        <w:pStyle w:val="BodyText"/>
        <w:spacing w:line="480" w:lineRule="auto"/>
        <w:rPr>
          <w:sz w:val="20"/>
          <w:szCs w:val="20"/>
        </w:rPr>
      </w:pPr>
      <w:r w:rsidRPr="008B1B5B">
        <w:rPr>
          <w:b/>
          <w:bCs/>
          <w:sz w:val="20"/>
          <w:szCs w:val="20"/>
        </w:rPr>
        <w:t>Table 2.</w:t>
      </w:r>
      <w:r w:rsidRPr="008B1B5B">
        <w:rPr>
          <w:sz w:val="20"/>
          <w:szCs w:val="20"/>
        </w:rPr>
        <w:t xml:space="preserve"> Summary of Reliability Metrics Reported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9"/>
        <w:gridCol w:w="1482"/>
        <w:gridCol w:w="1946"/>
        <w:gridCol w:w="2299"/>
      </w:tblGrid>
      <w:tr w:rsidR="00F26503" w:rsidRPr="008B1B5B" w14:paraId="5030BE8E"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EB3773" w14:textId="77777777" w:rsidR="00F26503" w:rsidRPr="008B1B5B" w:rsidRDefault="00000000" w:rsidP="004B385C">
            <w:pPr>
              <w:pStyle w:val="Compact"/>
              <w:spacing w:line="480" w:lineRule="auto"/>
              <w:rPr>
                <w:sz w:val="20"/>
                <w:szCs w:val="20"/>
              </w:rPr>
            </w:pPr>
            <w:r w:rsidRPr="008B1B5B">
              <w:rPr>
                <w:sz w:val="20"/>
                <w:szCs w:val="20"/>
              </w:rPr>
              <w:lastRenderedPageBreak/>
              <w:t>Study</w:t>
            </w:r>
          </w:p>
        </w:tc>
        <w:tc>
          <w:tcPr>
            <w:tcW w:w="0" w:type="auto"/>
            <w:tcBorders>
              <w:bottom w:val="none" w:sz="0" w:space="0" w:color="auto"/>
            </w:tcBorders>
          </w:tcPr>
          <w:p w14:paraId="2BBAE72F" w14:textId="77777777" w:rsidR="00F26503" w:rsidRPr="008B1B5B" w:rsidRDefault="00000000" w:rsidP="004B385C">
            <w:pPr>
              <w:pStyle w:val="Compact"/>
              <w:spacing w:line="480" w:lineRule="auto"/>
              <w:rPr>
                <w:sz w:val="20"/>
                <w:szCs w:val="20"/>
              </w:rPr>
            </w:pPr>
            <w:r w:rsidRPr="008B1B5B">
              <w:rPr>
                <w:sz w:val="20"/>
                <w:szCs w:val="20"/>
              </w:rPr>
              <w:t>Method</w:t>
            </w:r>
          </w:p>
        </w:tc>
        <w:tc>
          <w:tcPr>
            <w:tcW w:w="0" w:type="auto"/>
            <w:tcBorders>
              <w:bottom w:val="none" w:sz="0" w:space="0" w:color="auto"/>
            </w:tcBorders>
          </w:tcPr>
          <w:p w14:paraId="3C43B697" w14:textId="77777777" w:rsidR="00F26503" w:rsidRPr="008B1B5B" w:rsidRDefault="00000000" w:rsidP="004B385C">
            <w:pPr>
              <w:pStyle w:val="Compact"/>
              <w:spacing w:line="480" w:lineRule="auto"/>
              <w:rPr>
                <w:sz w:val="20"/>
                <w:szCs w:val="20"/>
              </w:rPr>
            </w:pPr>
            <w:r w:rsidRPr="008B1B5B">
              <w:rPr>
                <w:sz w:val="20"/>
                <w:szCs w:val="20"/>
              </w:rPr>
              <w:t>Metric</w:t>
            </w:r>
          </w:p>
        </w:tc>
        <w:tc>
          <w:tcPr>
            <w:tcW w:w="0" w:type="auto"/>
            <w:tcBorders>
              <w:bottom w:val="none" w:sz="0" w:space="0" w:color="auto"/>
            </w:tcBorders>
          </w:tcPr>
          <w:p w14:paraId="0CC08165" w14:textId="77777777" w:rsidR="00F26503" w:rsidRPr="008B1B5B" w:rsidRDefault="00000000" w:rsidP="004B385C">
            <w:pPr>
              <w:pStyle w:val="Compact"/>
              <w:spacing w:line="480" w:lineRule="auto"/>
              <w:rPr>
                <w:sz w:val="20"/>
                <w:szCs w:val="20"/>
              </w:rPr>
            </w:pPr>
            <w:r w:rsidRPr="008B1B5B">
              <w:rPr>
                <w:sz w:val="20"/>
                <w:szCs w:val="20"/>
              </w:rPr>
              <w:t>Value</w:t>
            </w:r>
          </w:p>
        </w:tc>
      </w:tr>
      <w:tr w:rsidR="00F26503" w:rsidRPr="008B1B5B" w14:paraId="7B3D8B7B" w14:textId="77777777" w:rsidTr="00162683">
        <w:tc>
          <w:tcPr>
            <w:tcW w:w="0" w:type="auto"/>
          </w:tcPr>
          <w:p w14:paraId="790B36A2" w14:textId="77777777" w:rsidR="00F26503" w:rsidRPr="008B1B5B" w:rsidRDefault="00000000" w:rsidP="004B385C">
            <w:pPr>
              <w:pStyle w:val="Compact"/>
              <w:spacing w:line="480" w:lineRule="auto"/>
              <w:rPr>
                <w:sz w:val="20"/>
                <w:szCs w:val="20"/>
              </w:rPr>
            </w:pPr>
            <w:r w:rsidRPr="008B1B5B">
              <w:rPr>
                <w:sz w:val="20"/>
                <w:szCs w:val="20"/>
              </w:rPr>
              <w:t>Bennebroek 2024</w:t>
            </w:r>
          </w:p>
        </w:tc>
        <w:tc>
          <w:tcPr>
            <w:tcW w:w="0" w:type="auto"/>
          </w:tcPr>
          <w:p w14:paraId="3E3BD804"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18DAF257" w14:textId="77777777" w:rsidR="00F26503" w:rsidRPr="008B1B5B" w:rsidRDefault="00000000" w:rsidP="004B385C">
            <w:pPr>
              <w:pStyle w:val="Compact"/>
              <w:spacing w:line="480" w:lineRule="auto"/>
              <w:rPr>
                <w:sz w:val="20"/>
                <w:szCs w:val="20"/>
              </w:rPr>
            </w:pPr>
            <w:r w:rsidRPr="008B1B5B">
              <w:rPr>
                <w:sz w:val="20"/>
                <w:szCs w:val="20"/>
              </w:rPr>
              <w:t>ICC</w:t>
            </w:r>
          </w:p>
        </w:tc>
        <w:tc>
          <w:tcPr>
            <w:tcW w:w="0" w:type="auto"/>
          </w:tcPr>
          <w:p w14:paraId="228FA1C3" w14:textId="77777777" w:rsidR="00F26503" w:rsidRPr="008B1B5B" w:rsidRDefault="00000000" w:rsidP="004B385C">
            <w:pPr>
              <w:pStyle w:val="Compact"/>
              <w:spacing w:line="480" w:lineRule="auto"/>
              <w:rPr>
                <w:sz w:val="20"/>
                <w:szCs w:val="20"/>
              </w:rPr>
            </w:pPr>
            <w:r w:rsidRPr="008B1B5B">
              <w:rPr>
                <w:sz w:val="20"/>
                <w:szCs w:val="20"/>
              </w:rPr>
              <w:t>0.96</w:t>
            </w:r>
          </w:p>
        </w:tc>
      </w:tr>
      <w:tr w:rsidR="00F26503" w:rsidRPr="008B1B5B" w14:paraId="34CDDB0F" w14:textId="77777777" w:rsidTr="00162683">
        <w:tc>
          <w:tcPr>
            <w:tcW w:w="0" w:type="auto"/>
          </w:tcPr>
          <w:p w14:paraId="031CDF21" w14:textId="77777777" w:rsidR="00F26503" w:rsidRPr="008B1B5B" w:rsidRDefault="00000000" w:rsidP="004B385C">
            <w:pPr>
              <w:pStyle w:val="Compact"/>
              <w:spacing w:line="480" w:lineRule="auto"/>
              <w:rPr>
                <w:sz w:val="20"/>
                <w:szCs w:val="20"/>
              </w:rPr>
            </w:pPr>
            <w:r w:rsidRPr="008B1B5B">
              <w:rPr>
                <w:sz w:val="20"/>
                <w:szCs w:val="20"/>
              </w:rPr>
              <w:t>Marsault 2019</w:t>
            </w:r>
          </w:p>
        </w:tc>
        <w:tc>
          <w:tcPr>
            <w:tcW w:w="0" w:type="auto"/>
          </w:tcPr>
          <w:p w14:paraId="05A8A8C5" w14:textId="77777777" w:rsidR="00F26503" w:rsidRPr="008B1B5B" w:rsidRDefault="00000000" w:rsidP="004B385C">
            <w:pPr>
              <w:pStyle w:val="Compact"/>
              <w:spacing w:line="480" w:lineRule="auto"/>
              <w:rPr>
                <w:sz w:val="20"/>
                <w:szCs w:val="20"/>
              </w:rPr>
            </w:pPr>
            <w:r w:rsidRPr="008B1B5B">
              <w:rPr>
                <w:sz w:val="20"/>
                <w:szCs w:val="20"/>
              </w:rPr>
              <w:t>Approximation</w:t>
            </w:r>
          </w:p>
        </w:tc>
        <w:tc>
          <w:tcPr>
            <w:tcW w:w="0" w:type="auto"/>
          </w:tcPr>
          <w:p w14:paraId="325F2E63" w14:textId="77777777" w:rsidR="00F26503" w:rsidRPr="008B1B5B" w:rsidRDefault="00000000" w:rsidP="004B385C">
            <w:pPr>
              <w:pStyle w:val="Compact"/>
              <w:spacing w:line="480" w:lineRule="auto"/>
              <w:rPr>
                <w:sz w:val="20"/>
                <w:szCs w:val="20"/>
              </w:rPr>
            </w:pPr>
            <w:r w:rsidRPr="008B1B5B">
              <w:rPr>
                <w:sz w:val="20"/>
                <w:szCs w:val="20"/>
              </w:rPr>
              <w:t>Kappa (progression)</w:t>
            </w:r>
          </w:p>
        </w:tc>
        <w:tc>
          <w:tcPr>
            <w:tcW w:w="0" w:type="auto"/>
          </w:tcPr>
          <w:p w14:paraId="08836BDE" w14:textId="77777777" w:rsidR="00F26503" w:rsidRPr="008B1B5B" w:rsidRDefault="00000000" w:rsidP="004B385C">
            <w:pPr>
              <w:pStyle w:val="Compact"/>
              <w:spacing w:line="480" w:lineRule="auto"/>
              <w:rPr>
                <w:sz w:val="20"/>
                <w:szCs w:val="20"/>
              </w:rPr>
            </w:pPr>
            <w:r w:rsidRPr="008B1B5B">
              <w:rPr>
                <w:sz w:val="20"/>
                <w:szCs w:val="20"/>
              </w:rPr>
              <w:t>0.87</w:t>
            </w:r>
          </w:p>
        </w:tc>
      </w:tr>
      <w:tr w:rsidR="00F26503" w:rsidRPr="008B1B5B" w14:paraId="637D2CE2" w14:textId="77777777" w:rsidTr="00162683">
        <w:tc>
          <w:tcPr>
            <w:tcW w:w="0" w:type="auto"/>
          </w:tcPr>
          <w:p w14:paraId="5859A182" w14:textId="77777777" w:rsidR="00F26503" w:rsidRPr="008B1B5B" w:rsidRDefault="00000000" w:rsidP="004B385C">
            <w:pPr>
              <w:pStyle w:val="Compact"/>
              <w:spacing w:line="480" w:lineRule="auto"/>
              <w:rPr>
                <w:sz w:val="20"/>
                <w:szCs w:val="20"/>
              </w:rPr>
            </w:pPr>
            <w:r w:rsidRPr="008B1B5B">
              <w:rPr>
                <w:sz w:val="20"/>
                <w:szCs w:val="20"/>
              </w:rPr>
              <w:t>Maloney 2021</w:t>
            </w:r>
          </w:p>
        </w:tc>
        <w:tc>
          <w:tcPr>
            <w:tcW w:w="0" w:type="auto"/>
          </w:tcPr>
          <w:p w14:paraId="0195CC43"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6AC9E1D5" w14:textId="77777777" w:rsidR="00F26503" w:rsidRPr="008B1B5B" w:rsidRDefault="00000000" w:rsidP="004B385C">
            <w:pPr>
              <w:pStyle w:val="Compact"/>
              <w:spacing w:line="480" w:lineRule="auto"/>
              <w:rPr>
                <w:sz w:val="20"/>
                <w:szCs w:val="20"/>
              </w:rPr>
            </w:pPr>
            <w:r w:rsidRPr="008B1B5B">
              <w:rPr>
                <w:sz w:val="20"/>
                <w:szCs w:val="20"/>
              </w:rPr>
              <w:t>Kappa</w:t>
            </w:r>
          </w:p>
        </w:tc>
        <w:tc>
          <w:tcPr>
            <w:tcW w:w="0" w:type="auto"/>
          </w:tcPr>
          <w:p w14:paraId="5DE98AC2" w14:textId="77777777" w:rsidR="00F26503" w:rsidRPr="008B1B5B" w:rsidRDefault="00000000" w:rsidP="004B385C">
            <w:pPr>
              <w:pStyle w:val="Compact"/>
              <w:spacing w:line="480" w:lineRule="auto"/>
              <w:rPr>
                <w:sz w:val="20"/>
                <w:szCs w:val="20"/>
              </w:rPr>
            </w:pPr>
            <w:r w:rsidRPr="008B1B5B">
              <w:rPr>
                <w:sz w:val="20"/>
                <w:szCs w:val="20"/>
              </w:rPr>
              <w:t>0.47–0.69</w:t>
            </w:r>
          </w:p>
        </w:tc>
      </w:tr>
      <w:tr w:rsidR="00F26503" w:rsidRPr="008B1B5B" w14:paraId="7DAE53D1" w14:textId="77777777" w:rsidTr="00162683">
        <w:tc>
          <w:tcPr>
            <w:tcW w:w="0" w:type="auto"/>
          </w:tcPr>
          <w:p w14:paraId="542FD655" w14:textId="77777777" w:rsidR="00F26503" w:rsidRPr="008B1B5B" w:rsidRDefault="00000000" w:rsidP="004B385C">
            <w:pPr>
              <w:pStyle w:val="Compact"/>
              <w:spacing w:line="480" w:lineRule="auto"/>
              <w:rPr>
                <w:sz w:val="20"/>
                <w:szCs w:val="20"/>
              </w:rPr>
            </w:pPr>
            <w:r w:rsidRPr="008B1B5B">
              <w:rPr>
                <w:sz w:val="20"/>
                <w:szCs w:val="20"/>
              </w:rPr>
              <w:t>Lambron 2016</w:t>
            </w:r>
          </w:p>
        </w:tc>
        <w:tc>
          <w:tcPr>
            <w:tcW w:w="0" w:type="auto"/>
          </w:tcPr>
          <w:p w14:paraId="4A3E5ADD"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55309DE9" w14:textId="77777777" w:rsidR="00F26503" w:rsidRPr="008B1B5B" w:rsidRDefault="00000000" w:rsidP="004B385C">
            <w:pPr>
              <w:pStyle w:val="Compact"/>
              <w:spacing w:line="480" w:lineRule="auto"/>
              <w:rPr>
                <w:sz w:val="20"/>
                <w:szCs w:val="20"/>
              </w:rPr>
            </w:pPr>
            <w:r w:rsidRPr="008B1B5B">
              <w:rPr>
                <w:sz w:val="20"/>
                <w:szCs w:val="20"/>
              </w:rPr>
              <w:t>Kappa</w:t>
            </w:r>
          </w:p>
        </w:tc>
        <w:tc>
          <w:tcPr>
            <w:tcW w:w="0" w:type="auto"/>
          </w:tcPr>
          <w:p w14:paraId="4526D461" w14:textId="77777777" w:rsidR="00F26503" w:rsidRPr="008B1B5B" w:rsidRDefault="00000000" w:rsidP="004B385C">
            <w:pPr>
              <w:pStyle w:val="Compact"/>
              <w:spacing w:line="480" w:lineRule="auto"/>
              <w:rPr>
                <w:sz w:val="20"/>
                <w:szCs w:val="20"/>
              </w:rPr>
            </w:pPr>
            <w:r w:rsidRPr="008B1B5B">
              <w:rPr>
                <w:sz w:val="20"/>
                <w:szCs w:val="20"/>
              </w:rPr>
              <w:t>0.56–1.0 (post-protocol)</w:t>
            </w:r>
          </w:p>
        </w:tc>
      </w:tr>
      <w:tr w:rsidR="00F26503" w:rsidRPr="008B1B5B" w14:paraId="43BF37C5" w14:textId="77777777" w:rsidTr="00162683">
        <w:tc>
          <w:tcPr>
            <w:tcW w:w="0" w:type="auto"/>
          </w:tcPr>
          <w:p w14:paraId="23D27D2D" w14:textId="77777777" w:rsidR="00F26503" w:rsidRPr="008B1B5B" w:rsidRDefault="00000000" w:rsidP="004B385C">
            <w:pPr>
              <w:pStyle w:val="Compact"/>
              <w:spacing w:line="480" w:lineRule="auto"/>
              <w:rPr>
                <w:sz w:val="20"/>
                <w:szCs w:val="20"/>
              </w:rPr>
            </w:pPr>
            <w:r w:rsidRPr="008B1B5B">
              <w:rPr>
                <w:sz w:val="20"/>
                <w:szCs w:val="20"/>
              </w:rPr>
              <w:t>Yeom 2013</w:t>
            </w:r>
          </w:p>
        </w:tc>
        <w:tc>
          <w:tcPr>
            <w:tcW w:w="0" w:type="auto"/>
          </w:tcPr>
          <w:p w14:paraId="5D18F1C0" w14:textId="77777777" w:rsidR="00F26503" w:rsidRPr="008B1B5B" w:rsidRDefault="00000000" w:rsidP="004B385C">
            <w:pPr>
              <w:pStyle w:val="Compact"/>
              <w:spacing w:line="480" w:lineRule="auto"/>
              <w:rPr>
                <w:sz w:val="20"/>
                <w:szCs w:val="20"/>
              </w:rPr>
            </w:pPr>
            <w:r w:rsidRPr="008B1B5B">
              <w:rPr>
                <w:sz w:val="20"/>
                <w:szCs w:val="20"/>
              </w:rPr>
              <w:t>Manual (ADC)</w:t>
            </w:r>
          </w:p>
        </w:tc>
        <w:tc>
          <w:tcPr>
            <w:tcW w:w="0" w:type="auto"/>
          </w:tcPr>
          <w:p w14:paraId="20FF3AC1" w14:textId="77777777" w:rsidR="00F26503" w:rsidRPr="008B1B5B" w:rsidRDefault="00000000" w:rsidP="004B385C">
            <w:pPr>
              <w:pStyle w:val="Compact"/>
              <w:spacing w:line="480" w:lineRule="auto"/>
              <w:rPr>
                <w:sz w:val="20"/>
                <w:szCs w:val="20"/>
              </w:rPr>
            </w:pPr>
            <w:r w:rsidRPr="008B1B5B">
              <w:rPr>
                <w:sz w:val="20"/>
                <w:szCs w:val="20"/>
              </w:rPr>
              <w:t>ICC</w:t>
            </w:r>
          </w:p>
        </w:tc>
        <w:tc>
          <w:tcPr>
            <w:tcW w:w="0" w:type="auto"/>
          </w:tcPr>
          <w:p w14:paraId="7A7DB615" w14:textId="77777777" w:rsidR="00F26503" w:rsidRPr="008B1B5B" w:rsidRDefault="00000000" w:rsidP="004B385C">
            <w:pPr>
              <w:pStyle w:val="Compact"/>
              <w:spacing w:line="480" w:lineRule="auto"/>
              <w:rPr>
                <w:sz w:val="20"/>
                <w:szCs w:val="20"/>
              </w:rPr>
            </w:pPr>
            <w:r w:rsidRPr="008B1B5B">
              <w:rPr>
                <w:sz w:val="20"/>
                <w:szCs w:val="20"/>
              </w:rPr>
              <w:t>0.998–1.000</w:t>
            </w:r>
          </w:p>
        </w:tc>
      </w:tr>
    </w:tbl>
    <w:p w14:paraId="19CB4906" w14:textId="77777777" w:rsidR="00F26503" w:rsidRPr="008B1B5B" w:rsidRDefault="00000000" w:rsidP="004B385C">
      <w:pPr>
        <w:pStyle w:val="BodyText"/>
        <w:spacing w:line="480" w:lineRule="auto"/>
        <w:rPr>
          <w:sz w:val="20"/>
          <w:szCs w:val="20"/>
        </w:rPr>
      </w:pPr>
      <w:r w:rsidRPr="008B1B5B">
        <w:rPr>
          <w:b/>
          <w:bCs/>
          <w:sz w:val="20"/>
          <w:szCs w:val="20"/>
        </w:rPr>
        <w:t>Table 3.</w:t>
      </w:r>
      <w:r w:rsidRPr="008B1B5B">
        <w:rPr>
          <w:sz w:val="20"/>
          <w:szCs w:val="20"/>
        </w:rPr>
        <w:t xml:space="preserve"> Clinical Thresholds for OPG Volumetric Assessment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0"/>
        <w:gridCol w:w="1411"/>
        <w:gridCol w:w="2118"/>
        <w:gridCol w:w="1587"/>
        <w:gridCol w:w="2294"/>
      </w:tblGrid>
      <w:tr w:rsidR="00F26503" w:rsidRPr="008B1B5B" w14:paraId="375D3892"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1643" w:type="dxa"/>
            <w:tcBorders>
              <w:bottom w:val="none" w:sz="0" w:space="0" w:color="auto"/>
            </w:tcBorders>
          </w:tcPr>
          <w:p w14:paraId="26BD3775" w14:textId="77777777" w:rsidR="00F26503" w:rsidRPr="008B1B5B" w:rsidRDefault="00000000" w:rsidP="004B385C">
            <w:pPr>
              <w:pStyle w:val="Compact"/>
              <w:spacing w:line="480" w:lineRule="auto"/>
              <w:rPr>
                <w:sz w:val="20"/>
                <w:szCs w:val="20"/>
              </w:rPr>
            </w:pPr>
            <w:r w:rsidRPr="008B1B5B">
              <w:rPr>
                <w:sz w:val="20"/>
                <w:szCs w:val="20"/>
              </w:rPr>
              <w:t>Threshold</w:t>
            </w:r>
          </w:p>
        </w:tc>
        <w:tc>
          <w:tcPr>
            <w:tcW w:w="1195" w:type="dxa"/>
            <w:tcBorders>
              <w:bottom w:val="none" w:sz="0" w:space="0" w:color="auto"/>
            </w:tcBorders>
          </w:tcPr>
          <w:p w14:paraId="440559E5" w14:textId="77777777" w:rsidR="00F26503" w:rsidRPr="008B1B5B" w:rsidRDefault="00000000" w:rsidP="004B385C">
            <w:pPr>
              <w:pStyle w:val="Compact"/>
              <w:spacing w:line="480" w:lineRule="auto"/>
              <w:rPr>
                <w:sz w:val="20"/>
                <w:szCs w:val="20"/>
              </w:rPr>
            </w:pPr>
            <w:r w:rsidRPr="008B1B5B">
              <w:rPr>
                <w:sz w:val="20"/>
                <w:szCs w:val="20"/>
              </w:rPr>
              <w:t>Source</w:t>
            </w:r>
          </w:p>
        </w:tc>
        <w:tc>
          <w:tcPr>
            <w:tcW w:w="1793" w:type="dxa"/>
            <w:tcBorders>
              <w:bottom w:val="none" w:sz="0" w:space="0" w:color="auto"/>
            </w:tcBorders>
          </w:tcPr>
          <w:p w14:paraId="1C569098" w14:textId="77777777" w:rsidR="00F26503" w:rsidRPr="008B1B5B" w:rsidRDefault="00000000" w:rsidP="004B385C">
            <w:pPr>
              <w:pStyle w:val="Compact"/>
              <w:spacing w:line="480" w:lineRule="auto"/>
              <w:rPr>
                <w:sz w:val="20"/>
                <w:szCs w:val="20"/>
              </w:rPr>
            </w:pPr>
            <w:r w:rsidRPr="008B1B5B">
              <w:rPr>
                <w:sz w:val="20"/>
                <w:szCs w:val="20"/>
              </w:rPr>
              <w:t>Population</w:t>
            </w:r>
          </w:p>
        </w:tc>
        <w:tc>
          <w:tcPr>
            <w:tcW w:w="1344" w:type="dxa"/>
            <w:tcBorders>
              <w:bottom w:val="none" w:sz="0" w:space="0" w:color="auto"/>
            </w:tcBorders>
          </w:tcPr>
          <w:p w14:paraId="3FF5C7FF" w14:textId="77777777" w:rsidR="00F26503" w:rsidRPr="008B1B5B" w:rsidRDefault="00000000" w:rsidP="004B385C">
            <w:pPr>
              <w:pStyle w:val="Compact"/>
              <w:spacing w:line="480" w:lineRule="auto"/>
              <w:rPr>
                <w:sz w:val="20"/>
                <w:szCs w:val="20"/>
              </w:rPr>
            </w:pPr>
            <w:r w:rsidRPr="008B1B5B">
              <w:rPr>
                <w:sz w:val="20"/>
                <w:szCs w:val="20"/>
              </w:rPr>
              <w:t>Outcome</w:t>
            </w:r>
          </w:p>
        </w:tc>
        <w:tc>
          <w:tcPr>
            <w:tcW w:w="1942" w:type="dxa"/>
            <w:tcBorders>
              <w:bottom w:val="none" w:sz="0" w:space="0" w:color="auto"/>
            </w:tcBorders>
          </w:tcPr>
          <w:p w14:paraId="530664FE" w14:textId="77777777" w:rsidR="00F26503" w:rsidRPr="008B1B5B" w:rsidRDefault="00000000" w:rsidP="004B385C">
            <w:pPr>
              <w:pStyle w:val="Compact"/>
              <w:spacing w:line="480" w:lineRule="auto"/>
              <w:rPr>
                <w:sz w:val="20"/>
                <w:szCs w:val="20"/>
              </w:rPr>
            </w:pPr>
            <w:r w:rsidRPr="008B1B5B">
              <w:rPr>
                <w:sz w:val="20"/>
                <w:szCs w:val="20"/>
              </w:rPr>
              <w:t>Performance</w:t>
            </w:r>
          </w:p>
        </w:tc>
      </w:tr>
      <w:tr w:rsidR="00F26503" w:rsidRPr="008B1B5B" w14:paraId="23771DA6" w14:textId="77777777" w:rsidTr="00162683">
        <w:tc>
          <w:tcPr>
            <w:tcW w:w="1643" w:type="dxa"/>
          </w:tcPr>
          <w:p w14:paraId="0E4FF9C8" w14:textId="77777777" w:rsidR="00F26503" w:rsidRPr="008B1B5B" w:rsidRDefault="00000000" w:rsidP="004B385C">
            <w:pPr>
              <w:pStyle w:val="Compact"/>
              <w:spacing w:line="480" w:lineRule="auto"/>
              <w:rPr>
                <w:sz w:val="20"/>
                <w:szCs w:val="20"/>
              </w:rPr>
            </w:pPr>
            <w:r w:rsidRPr="008B1B5B">
              <w:rPr>
                <w:sz w:val="20"/>
                <w:szCs w:val="20"/>
              </w:rPr>
              <w:t>AVP &gt;1.75 mL</w:t>
            </w:r>
          </w:p>
        </w:tc>
        <w:tc>
          <w:tcPr>
            <w:tcW w:w="1195" w:type="dxa"/>
          </w:tcPr>
          <w:p w14:paraId="2D2E1EBC" w14:textId="77777777" w:rsidR="00F26503" w:rsidRPr="008B1B5B" w:rsidRDefault="00000000" w:rsidP="004B385C">
            <w:pPr>
              <w:pStyle w:val="Compact"/>
              <w:spacing w:line="480" w:lineRule="auto"/>
              <w:rPr>
                <w:sz w:val="20"/>
                <w:szCs w:val="20"/>
              </w:rPr>
            </w:pPr>
            <w:r w:rsidRPr="008B1B5B">
              <w:rPr>
                <w:sz w:val="20"/>
                <w:szCs w:val="20"/>
              </w:rPr>
              <w:t>Avery 2018, 2023</w:t>
            </w:r>
          </w:p>
        </w:tc>
        <w:tc>
          <w:tcPr>
            <w:tcW w:w="1793" w:type="dxa"/>
          </w:tcPr>
          <w:p w14:paraId="5D5DEB29"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77136E11" w14:textId="77777777" w:rsidR="00F26503" w:rsidRPr="008B1B5B" w:rsidRDefault="00000000" w:rsidP="004B385C">
            <w:pPr>
              <w:pStyle w:val="Compact"/>
              <w:spacing w:line="480" w:lineRule="auto"/>
              <w:rPr>
                <w:sz w:val="20"/>
                <w:szCs w:val="20"/>
              </w:rPr>
            </w:pPr>
            <w:r w:rsidRPr="008B1B5B">
              <w:rPr>
                <w:sz w:val="20"/>
                <w:szCs w:val="20"/>
              </w:rPr>
              <w:t>VA loss detection</w:t>
            </w:r>
          </w:p>
        </w:tc>
        <w:tc>
          <w:tcPr>
            <w:tcW w:w="1942" w:type="dxa"/>
          </w:tcPr>
          <w:p w14:paraId="3F726AC7" w14:textId="77777777" w:rsidR="00F26503" w:rsidRPr="008B1B5B" w:rsidRDefault="00000000" w:rsidP="004B385C">
            <w:pPr>
              <w:pStyle w:val="Compact"/>
              <w:spacing w:line="480" w:lineRule="auto"/>
              <w:rPr>
                <w:sz w:val="20"/>
                <w:szCs w:val="20"/>
              </w:rPr>
            </w:pPr>
            <w:r w:rsidRPr="008B1B5B">
              <w:rPr>
                <w:sz w:val="20"/>
                <w:szCs w:val="20"/>
              </w:rPr>
              <w:t>Sens 87%, Spec 90%</w:t>
            </w:r>
          </w:p>
        </w:tc>
      </w:tr>
      <w:tr w:rsidR="00F26503" w:rsidRPr="008B1B5B" w14:paraId="41C9E775" w14:textId="77777777" w:rsidTr="00162683">
        <w:tc>
          <w:tcPr>
            <w:tcW w:w="1643" w:type="dxa"/>
          </w:tcPr>
          <w:p w14:paraId="2BB93C7A" w14:textId="77777777" w:rsidR="00F26503" w:rsidRPr="008B1B5B" w:rsidRDefault="00000000" w:rsidP="004B385C">
            <w:pPr>
              <w:pStyle w:val="Compact"/>
              <w:spacing w:line="480" w:lineRule="auto"/>
              <w:rPr>
                <w:sz w:val="20"/>
                <w:szCs w:val="20"/>
              </w:rPr>
            </w:pPr>
            <w:r w:rsidRPr="008B1B5B">
              <w:rPr>
                <w:sz w:val="20"/>
                <w:szCs w:val="20"/>
              </w:rPr>
              <w:t>AVP &gt;3.0 mL</w:t>
            </w:r>
          </w:p>
        </w:tc>
        <w:tc>
          <w:tcPr>
            <w:tcW w:w="1195" w:type="dxa"/>
          </w:tcPr>
          <w:p w14:paraId="7C51DF9F"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1793" w:type="dxa"/>
          </w:tcPr>
          <w:p w14:paraId="6BFCC5A7"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5B379146" w14:textId="77777777" w:rsidR="00F26503" w:rsidRPr="008B1B5B" w:rsidRDefault="00000000" w:rsidP="004B385C">
            <w:pPr>
              <w:pStyle w:val="Compact"/>
              <w:spacing w:line="480" w:lineRule="auto"/>
              <w:rPr>
                <w:sz w:val="20"/>
                <w:szCs w:val="20"/>
              </w:rPr>
            </w:pPr>
            <w:r w:rsidRPr="008B1B5B">
              <w:rPr>
                <w:sz w:val="20"/>
                <w:szCs w:val="20"/>
              </w:rPr>
              <w:t>Abnormal RNFL</w:t>
            </w:r>
          </w:p>
        </w:tc>
        <w:tc>
          <w:tcPr>
            <w:tcW w:w="1942" w:type="dxa"/>
          </w:tcPr>
          <w:p w14:paraId="7DCD2323" w14:textId="77777777" w:rsidR="00F26503" w:rsidRPr="008B1B5B" w:rsidRDefault="00000000" w:rsidP="004B385C">
            <w:pPr>
              <w:pStyle w:val="Compact"/>
              <w:spacing w:line="480" w:lineRule="auto"/>
              <w:rPr>
                <w:sz w:val="20"/>
                <w:szCs w:val="20"/>
              </w:rPr>
            </w:pPr>
            <w:r w:rsidRPr="008B1B5B">
              <w:rPr>
                <w:sz w:val="20"/>
                <w:szCs w:val="20"/>
              </w:rPr>
              <w:t>PPV 87%</w:t>
            </w:r>
          </w:p>
        </w:tc>
      </w:tr>
      <w:tr w:rsidR="00F26503" w:rsidRPr="008B1B5B" w14:paraId="04380459" w14:textId="77777777" w:rsidTr="00162683">
        <w:tc>
          <w:tcPr>
            <w:tcW w:w="1643" w:type="dxa"/>
          </w:tcPr>
          <w:p w14:paraId="79C14326" w14:textId="77777777" w:rsidR="00F26503" w:rsidRPr="008B1B5B" w:rsidRDefault="00000000" w:rsidP="004B385C">
            <w:pPr>
              <w:pStyle w:val="Compact"/>
              <w:spacing w:line="480" w:lineRule="auto"/>
              <w:rPr>
                <w:sz w:val="20"/>
                <w:szCs w:val="20"/>
              </w:rPr>
            </w:pPr>
            <w:r w:rsidRPr="008B1B5B">
              <w:rPr>
                <w:sz w:val="20"/>
                <w:szCs w:val="20"/>
              </w:rPr>
              <w:t>Chiasm &gt;1.3 mL</w:t>
            </w:r>
          </w:p>
        </w:tc>
        <w:tc>
          <w:tcPr>
            <w:tcW w:w="1195" w:type="dxa"/>
          </w:tcPr>
          <w:p w14:paraId="063A0C3C"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1793" w:type="dxa"/>
          </w:tcPr>
          <w:p w14:paraId="7BF3FDFC"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5A63A27C" w14:textId="77777777" w:rsidR="00F26503" w:rsidRPr="008B1B5B" w:rsidRDefault="00000000" w:rsidP="004B385C">
            <w:pPr>
              <w:pStyle w:val="Compact"/>
              <w:spacing w:line="480" w:lineRule="auto"/>
              <w:rPr>
                <w:sz w:val="20"/>
                <w:szCs w:val="20"/>
              </w:rPr>
            </w:pPr>
            <w:r w:rsidRPr="008B1B5B">
              <w:rPr>
                <w:sz w:val="20"/>
                <w:szCs w:val="20"/>
              </w:rPr>
              <w:t>Abnormal RNFL</w:t>
            </w:r>
          </w:p>
        </w:tc>
        <w:tc>
          <w:tcPr>
            <w:tcW w:w="1942" w:type="dxa"/>
          </w:tcPr>
          <w:p w14:paraId="3B5D454A" w14:textId="77777777" w:rsidR="00F26503" w:rsidRPr="008B1B5B" w:rsidRDefault="00000000" w:rsidP="004B385C">
            <w:pPr>
              <w:pStyle w:val="Compact"/>
              <w:spacing w:line="480" w:lineRule="auto"/>
              <w:rPr>
                <w:sz w:val="20"/>
                <w:szCs w:val="20"/>
              </w:rPr>
            </w:pPr>
            <w:r w:rsidRPr="008B1B5B">
              <w:rPr>
                <w:sz w:val="20"/>
                <w:szCs w:val="20"/>
              </w:rPr>
              <w:t>PPV 100%</w:t>
            </w:r>
          </w:p>
        </w:tc>
      </w:tr>
      <w:tr w:rsidR="00F26503" w:rsidRPr="008B1B5B" w14:paraId="29EB32C3" w14:textId="77777777" w:rsidTr="00162683">
        <w:tc>
          <w:tcPr>
            <w:tcW w:w="1643" w:type="dxa"/>
          </w:tcPr>
          <w:p w14:paraId="740B835A" w14:textId="77777777" w:rsidR="00F26503" w:rsidRPr="008B1B5B" w:rsidRDefault="00000000" w:rsidP="004B385C">
            <w:pPr>
              <w:pStyle w:val="Compact"/>
              <w:spacing w:line="480" w:lineRule="auto"/>
              <w:rPr>
                <w:sz w:val="20"/>
                <w:szCs w:val="20"/>
              </w:rPr>
            </w:pPr>
            <w:r w:rsidRPr="008B1B5B">
              <w:rPr>
                <w:sz w:val="20"/>
                <w:szCs w:val="20"/>
              </w:rPr>
              <w:t>TGV &gt;0.1 cm³/month</w:t>
            </w:r>
          </w:p>
        </w:tc>
        <w:tc>
          <w:tcPr>
            <w:tcW w:w="1195" w:type="dxa"/>
          </w:tcPr>
          <w:p w14:paraId="78BAF64C"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3787C350"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6E5C97B8" w14:textId="77777777" w:rsidR="00F26503" w:rsidRPr="008B1B5B" w:rsidRDefault="00000000" w:rsidP="004B385C">
            <w:pPr>
              <w:pStyle w:val="Compact"/>
              <w:spacing w:line="480" w:lineRule="auto"/>
              <w:rPr>
                <w:sz w:val="20"/>
                <w:szCs w:val="20"/>
              </w:rPr>
            </w:pPr>
            <w:r w:rsidRPr="008B1B5B">
              <w:rPr>
                <w:sz w:val="20"/>
                <w:szCs w:val="20"/>
              </w:rPr>
              <w:t>VA deterioration</w:t>
            </w:r>
          </w:p>
        </w:tc>
        <w:tc>
          <w:tcPr>
            <w:tcW w:w="1942" w:type="dxa"/>
          </w:tcPr>
          <w:p w14:paraId="71356EDE" w14:textId="77777777" w:rsidR="00F26503" w:rsidRPr="008B1B5B" w:rsidRDefault="00000000" w:rsidP="004B385C">
            <w:pPr>
              <w:pStyle w:val="Compact"/>
              <w:spacing w:line="480" w:lineRule="auto"/>
              <w:rPr>
                <w:sz w:val="20"/>
                <w:szCs w:val="20"/>
              </w:rPr>
            </w:pPr>
            <w:r w:rsidRPr="008B1B5B">
              <w:rPr>
                <w:sz w:val="20"/>
                <w:szCs w:val="20"/>
              </w:rPr>
              <w:t>AUC 0.81</w:t>
            </w:r>
          </w:p>
        </w:tc>
      </w:tr>
      <w:tr w:rsidR="00F26503" w:rsidRPr="008B1B5B" w14:paraId="0A8419D7" w14:textId="77777777" w:rsidTr="00162683">
        <w:tc>
          <w:tcPr>
            <w:tcW w:w="1643" w:type="dxa"/>
          </w:tcPr>
          <w:p w14:paraId="3F071CE9" w14:textId="77777777" w:rsidR="00F26503" w:rsidRPr="008B1B5B" w:rsidRDefault="00000000" w:rsidP="004B385C">
            <w:pPr>
              <w:pStyle w:val="Compact"/>
              <w:spacing w:line="480" w:lineRule="auto"/>
              <w:rPr>
                <w:sz w:val="20"/>
                <w:szCs w:val="20"/>
              </w:rPr>
            </w:pPr>
            <w:r w:rsidRPr="008B1B5B">
              <w:rPr>
                <w:sz w:val="20"/>
                <w:szCs w:val="20"/>
              </w:rPr>
              <w:t>Volume &gt;4.0 cm³</w:t>
            </w:r>
          </w:p>
        </w:tc>
        <w:tc>
          <w:tcPr>
            <w:tcW w:w="1195" w:type="dxa"/>
          </w:tcPr>
          <w:p w14:paraId="0EECE7B8"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318245DA"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6DBE8506" w14:textId="77777777" w:rsidR="00F26503" w:rsidRPr="008B1B5B" w:rsidRDefault="00000000" w:rsidP="004B385C">
            <w:pPr>
              <w:pStyle w:val="Compact"/>
              <w:spacing w:line="480" w:lineRule="auto"/>
              <w:rPr>
                <w:sz w:val="20"/>
                <w:szCs w:val="20"/>
              </w:rPr>
            </w:pPr>
            <w:r w:rsidRPr="008B1B5B">
              <w:rPr>
                <w:sz w:val="20"/>
                <w:szCs w:val="20"/>
              </w:rPr>
              <w:t>Impaired VA at dx</w:t>
            </w:r>
          </w:p>
        </w:tc>
        <w:tc>
          <w:tcPr>
            <w:tcW w:w="1942" w:type="dxa"/>
          </w:tcPr>
          <w:p w14:paraId="4102264C" w14:textId="77777777" w:rsidR="00F26503" w:rsidRPr="008B1B5B" w:rsidRDefault="00000000" w:rsidP="004B385C">
            <w:pPr>
              <w:pStyle w:val="Compact"/>
              <w:spacing w:line="480" w:lineRule="auto"/>
              <w:rPr>
                <w:sz w:val="20"/>
                <w:szCs w:val="20"/>
              </w:rPr>
            </w:pPr>
            <w:r w:rsidRPr="008B1B5B">
              <w:rPr>
                <w:sz w:val="20"/>
                <w:szCs w:val="20"/>
              </w:rPr>
              <w:t>AUC 0.78</w:t>
            </w:r>
          </w:p>
        </w:tc>
      </w:tr>
      <w:tr w:rsidR="00F26503" w:rsidRPr="008B1B5B" w14:paraId="6254BF98" w14:textId="77777777" w:rsidTr="00162683">
        <w:tc>
          <w:tcPr>
            <w:tcW w:w="1643" w:type="dxa"/>
          </w:tcPr>
          <w:p w14:paraId="08DFF39F" w14:textId="77777777" w:rsidR="00F26503" w:rsidRPr="008B1B5B" w:rsidRDefault="00000000" w:rsidP="004B385C">
            <w:pPr>
              <w:pStyle w:val="Compact"/>
              <w:spacing w:line="480" w:lineRule="auto"/>
              <w:rPr>
                <w:sz w:val="20"/>
                <w:szCs w:val="20"/>
              </w:rPr>
            </w:pPr>
            <w:r w:rsidRPr="008B1B5B">
              <w:rPr>
                <w:sz w:val="20"/>
                <w:szCs w:val="20"/>
              </w:rPr>
              <w:t>Volume &gt;11.1 cm³</w:t>
            </w:r>
          </w:p>
        </w:tc>
        <w:tc>
          <w:tcPr>
            <w:tcW w:w="1195" w:type="dxa"/>
          </w:tcPr>
          <w:p w14:paraId="1291DC2D"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00B873C8"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3F3E736F" w14:textId="77777777" w:rsidR="00F26503" w:rsidRPr="008B1B5B" w:rsidRDefault="00000000" w:rsidP="004B385C">
            <w:pPr>
              <w:pStyle w:val="Compact"/>
              <w:spacing w:line="480" w:lineRule="auto"/>
              <w:rPr>
                <w:sz w:val="20"/>
                <w:szCs w:val="20"/>
              </w:rPr>
            </w:pPr>
            <w:r w:rsidRPr="008B1B5B">
              <w:rPr>
                <w:sz w:val="20"/>
                <w:szCs w:val="20"/>
              </w:rPr>
              <w:t>VA decrease</w:t>
            </w:r>
          </w:p>
        </w:tc>
        <w:tc>
          <w:tcPr>
            <w:tcW w:w="1942" w:type="dxa"/>
          </w:tcPr>
          <w:p w14:paraId="59DF3082" w14:textId="77777777" w:rsidR="00F26503" w:rsidRPr="008B1B5B" w:rsidRDefault="00000000" w:rsidP="004B385C">
            <w:pPr>
              <w:pStyle w:val="Compact"/>
              <w:spacing w:line="480" w:lineRule="auto"/>
              <w:rPr>
                <w:sz w:val="20"/>
                <w:szCs w:val="20"/>
              </w:rPr>
            </w:pPr>
            <w:r w:rsidRPr="008B1B5B">
              <w:rPr>
                <w:sz w:val="20"/>
                <w:szCs w:val="20"/>
              </w:rPr>
              <w:t>AUC 0.76</w:t>
            </w:r>
          </w:p>
        </w:tc>
      </w:tr>
    </w:tbl>
    <w:p w14:paraId="68471849" w14:textId="77777777" w:rsidR="00F26503" w:rsidRPr="008B1B5B" w:rsidRDefault="00000000" w:rsidP="004B385C">
      <w:pPr>
        <w:pStyle w:val="BodyText"/>
        <w:spacing w:line="480" w:lineRule="auto"/>
        <w:rPr>
          <w:sz w:val="20"/>
          <w:szCs w:val="20"/>
        </w:rPr>
      </w:pPr>
      <w:r w:rsidRPr="008B1B5B">
        <w:rPr>
          <w:i/>
          <w:iCs/>
          <w:sz w:val="20"/>
          <w:szCs w:val="20"/>
        </w:rPr>
        <w:t>Note: AVP = anterior visual pathway; TGV = tumor growth velocity; VA = visual acuity; RNFL = retinal nerve fiber layer; dx = diagnosis. Thresholds derived from NF1-only populations may not generalize to sporadic OPG.</w:t>
      </w:r>
    </w:p>
    <w:p w14:paraId="0A7BA235" w14:textId="77777777" w:rsidR="00F26503" w:rsidRPr="008B1B5B" w:rsidRDefault="00000000" w:rsidP="004B385C">
      <w:pPr>
        <w:spacing w:line="480" w:lineRule="auto"/>
        <w:rPr>
          <w:sz w:val="20"/>
          <w:szCs w:val="20"/>
        </w:rPr>
      </w:pPr>
      <w:r>
        <w:rPr>
          <w:sz w:val="20"/>
          <w:szCs w:val="20"/>
        </w:rPr>
        <w:pict w14:anchorId="6EC9DF75">
          <v:rect id="_x0000_i1035" style="width:0;height:1.5pt" o:hralign="center" o:hrstd="t" o:hr="t"/>
        </w:pict>
      </w:r>
    </w:p>
    <w:p w14:paraId="440A7E21" w14:textId="77777777" w:rsidR="00F26503" w:rsidRPr="000E3423" w:rsidRDefault="00000000" w:rsidP="004B385C">
      <w:pPr>
        <w:pStyle w:val="Heading2"/>
        <w:spacing w:line="480" w:lineRule="auto"/>
        <w:rPr>
          <w:b/>
          <w:bCs/>
          <w:color w:val="auto"/>
          <w:sz w:val="20"/>
          <w:szCs w:val="20"/>
        </w:rPr>
      </w:pPr>
      <w:bookmarkStart w:id="29" w:name="figure-legends"/>
      <w:bookmarkEnd w:id="28"/>
      <w:r w:rsidRPr="000E3423">
        <w:rPr>
          <w:b/>
          <w:bCs/>
          <w:color w:val="auto"/>
          <w:sz w:val="20"/>
          <w:szCs w:val="20"/>
        </w:rPr>
        <w:lastRenderedPageBreak/>
        <w:t>Figure Legends</w:t>
      </w:r>
    </w:p>
    <w:p w14:paraId="61959EA3" w14:textId="77777777" w:rsidR="00F26503" w:rsidRPr="008B1B5B" w:rsidRDefault="00000000" w:rsidP="004B385C">
      <w:pPr>
        <w:pStyle w:val="FirstParagraph"/>
        <w:spacing w:line="480" w:lineRule="auto"/>
        <w:rPr>
          <w:sz w:val="20"/>
          <w:szCs w:val="20"/>
        </w:rPr>
      </w:pPr>
      <w:r w:rsidRPr="008B1B5B">
        <w:rPr>
          <w:b/>
          <w:bCs/>
          <w:sz w:val="20"/>
          <w:szCs w:val="20"/>
        </w:rPr>
        <w:t>Figure 1.</w:t>
      </w:r>
      <w:r w:rsidRPr="008B1B5B">
        <w:rPr>
          <w:sz w:val="20"/>
          <w:szCs w:val="20"/>
        </w:rPr>
        <w:t xml:space="preserve"> PRISMA flow diagram showing study selection process. Database searches identified 227 records. After duplicate removal (n=131) and screening, 28 studies were included in the final synthesis.</w:t>
      </w:r>
    </w:p>
    <w:p w14:paraId="43F3CD93" w14:textId="77777777" w:rsidR="00F26503" w:rsidRPr="008B1B5B" w:rsidRDefault="00000000" w:rsidP="004B385C">
      <w:pPr>
        <w:spacing w:line="480" w:lineRule="auto"/>
        <w:rPr>
          <w:sz w:val="20"/>
          <w:szCs w:val="20"/>
        </w:rPr>
      </w:pPr>
      <w:r>
        <w:rPr>
          <w:sz w:val="20"/>
          <w:szCs w:val="20"/>
        </w:rPr>
        <w:pict w14:anchorId="518E6B7C">
          <v:rect id="_x0000_i1036" style="width:0;height:1.5pt" o:hralign="center" o:hrstd="t" o:hr="t"/>
        </w:pict>
      </w:r>
    </w:p>
    <w:p w14:paraId="7B224BA1" w14:textId="77777777" w:rsidR="00F26503" w:rsidRPr="000E3423" w:rsidRDefault="00000000" w:rsidP="000E3423">
      <w:pPr>
        <w:pStyle w:val="Heading2"/>
        <w:spacing w:line="480" w:lineRule="auto"/>
        <w:rPr>
          <w:b/>
          <w:bCs/>
          <w:color w:val="auto"/>
          <w:sz w:val="20"/>
          <w:szCs w:val="20"/>
        </w:rPr>
      </w:pPr>
      <w:bookmarkStart w:id="30" w:name="supplementary-materials"/>
      <w:bookmarkEnd w:id="29"/>
      <w:r w:rsidRPr="000E3423">
        <w:rPr>
          <w:b/>
          <w:bCs/>
          <w:color w:val="auto"/>
          <w:sz w:val="20"/>
          <w:szCs w:val="20"/>
        </w:rPr>
        <w:t>Supplementary Materials</w:t>
      </w:r>
    </w:p>
    <w:p w14:paraId="6DBC4769"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1:</w:t>
      </w:r>
      <w:r w:rsidRPr="008B1B5B">
        <w:rPr>
          <w:sz w:val="20"/>
          <w:szCs w:val="20"/>
        </w:rPr>
        <w:t xml:space="preserve"> Complete database search strategies</w:t>
      </w:r>
    </w:p>
    <w:p w14:paraId="6B0C84F2"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2:</w:t>
      </w:r>
      <w:r w:rsidRPr="008B1B5B">
        <w:rPr>
          <w:sz w:val="20"/>
          <w:szCs w:val="20"/>
        </w:rPr>
        <w:t xml:space="preserve"> Data extraction form template</w:t>
      </w:r>
    </w:p>
    <w:p w14:paraId="5A553737"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3:</w:t>
      </w:r>
      <w:r w:rsidRPr="008B1B5B">
        <w:rPr>
          <w:sz w:val="20"/>
          <w:szCs w:val="20"/>
        </w:rPr>
        <w:t xml:space="preserve"> PRISMA-ScR checklist</w:t>
      </w:r>
    </w:p>
    <w:p w14:paraId="12342A33"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4:</w:t>
      </w:r>
      <w:r w:rsidRPr="008B1B5B">
        <w:rPr>
          <w:sz w:val="20"/>
          <w:szCs w:val="20"/>
        </w:rPr>
        <w:t xml:space="preserve"> Detailed characteristics of included studies</w:t>
      </w:r>
    </w:p>
    <w:p w14:paraId="7643AB9C"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5:</w:t>
      </w:r>
      <w:r w:rsidRPr="008B1B5B">
        <w:rPr>
          <w:sz w:val="20"/>
          <w:szCs w:val="20"/>
        </w:rPr>
        <w:t xml:space="preserve"> Excluded studies with reasons for exclusion</w:t>
      </w:r>
    </w:p>
    <w:p w14:paraId="1D1B6BA5" w14:textId="77777777" w:rsidR="00F26503" w:rsidRPr="008B1B5B" w:rsidRDefault="00000000" w:rsidP="004B385C">
      <w:pPr>
        <w:spacing w:line="480" w:lineRule="auto"/>
        <w:rPr>
          <w:sz w:val="20"/>
          <w:szCs w:val="20"/>
        </w:rPr>
      </w:pPr>
      <w:r>
        <w:rPr>
          <w:sz w:val="20"/>
          <w:szCs w:val="20"/>
        </w:rPr>
        <w:pict w14:anchorId="5FBE681C">
          <v:rect id="_x0000_i1037" style="width:0;height:1.5pt" o:hralign="center" o:hrstd="t" o:hr="t"/>
        </w:pict>
      </w:r>
    </w:p>
    <w:bookmarkEnd w:id="0"/>
    <w:bookmarkEnd w:id="30"/>
    <w:p w14:paraId="3FFD690A" w14:textId="4D37C8DE" w:rsidR="00F26503" w:rsidRPr="008B1B5B" w:rsidRDefault="00F26503" w:rsidP="004B385C">
      <w:pPr>
        <w:pStyle w:val="FirstParagraph"/>
        <w:spacing w:line="480" w:lineRule="auto"/>
        <w:rPr>
          <w:sz w:val="20"/>
          <w:szCs w:val="20"/>
        </w:rPr>
      </w:pPr>
    </w:p>
    <w:sectPr w:rsidR="00F26503" w:rsidRPr="008B1B5B">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EFDA" w14:textId="77777777" w:rsidR="00FE4704" w:rsidRDefault="00FE4704" w:rsidP="006E3604">
      <w:pPr>
        <w:spacing w:after="0"/>
      </w:pPr>
      <w:r>
        <w:separator/>
      </w:r>
    </w:p>
  </w:endnote>
  <w:endnote w:type="continuationSeparator" w:id="0">
    <w:p w14:paraId="561E57C3" w14:textId="77777777" w:rsidR="00FE4704" w:rsidRDefault="00FE4704" w:rsidP="006E36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1581" w14:textId="77777777" w:rsidR="00FE4704" w:rsidRDefault="00FE4704" w:rsidP="006E3604">
      <w:pPr>
        <w:spacing w:after="0"/>
      </w:pPr>
      <w:r>
        <w:separator/>
      </w:r>
    </w:p>
  </w:footnote>
  <w:footnote w:type="continuationSeparator" w:id="0">
    <w:p w14:paraId="7B0D0D86" w14:textId="77777777" w:rsidR="00FE4704" w:rsidRDefault="00FE4704" w:rsidP="006E36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582145"/>
      <w:docPartObj>
        <w:docPartGallery w:val="Page Numbers (Top of Page)"/>
        <w:docPartUnique/>
      </w:docPartObj>
    </w:sdtPr>
    <w:sdtEndPr>
      <w:rPr>
        <w:noProof/>
        <w:sz w:val="20"/>
        <w:szCs w:val="20"/>
      </w:rPr>
    </w:sdtEndPr>
    <w:sdtContent>
      <w:p w14:paraId="18A9FFC4" w14:textId="5B5EBF9A" w:rsidR="00B84421" w:rsidRPr="00B84421" w:rsidRDefault="00B84421">
        <w:pPr>
          <w:pStyle w:val="Header"/>
          <w:jc w:val="right"/>
          <w:rPr>
            <w:sz w:val="20"/>
            <w:szCs w:val="20"/>
          </w:rPr>
        </w:pPr>
        <w:r w:rsidRPr="00B84421">
          <w:rPr>
            <w:sz w:val="20"/>
            <w:szCs w:val="20"/>
          </w:rPr>
          <w:fldChar w:fldCharType="begin"/>
        </w:r>
        <w:r w:rsidRPr="00B84421">
          <w:rPr>
            <w:sz w:val="20"/>
            <w:szCs w:val="20"/>
          </w:rPr>
          <w:instrText xml:space="preserve"> PAGE   \* MERGEFORMAT </w:instrText>
        </w:r>
        <w:r w:rsidRPr="00B84421">
          <w:rPr>
            <w:sz w:val="20"/>
            <w:szCs w:val="20"/>
          </w:rPr>
          <w:fldChar w:fldCharType="separate"/>
        </w:r>
        <w:r w:rsidRPr="00B84421">
          <w:rPr>
            <w:noProof/>
            <w:sz w:val="20"/>
            <w:szCs w:val="20"/>
          </w:rPr>
          <w:t>2</w:t>
        </w:r>
        <w:r w:rsidRPr="00B84421">
          <w:rPr>
            <w:noProof/>
            <w:sz w:val="20"/>
            <w:szCs w:val="20"/>
          </w:rPr>
          <w:fldChar w:fldCharType="end"/>
        </w:r>
      </w:p>
    </w:sdtContent>
  </w:sdt>
  <w:p w14:paraId="2E5D6126" w14:textId="77777777" w:rsidR="00B84421" w:rsidRDefault="00B84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C076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EAE3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182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1065702">
    <w:abstractNumId w:val="0"/>
  </w:num>
  <w:num w:numId="2" w16cid:durableId="33122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324213">
    <w:abstractNumId w:val="1"/>
  </w:num>
  <w:num w:numId="4" w16cid:durableId="179425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3712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03"/>
    <w:rsid w:val="0005020E"/>
    <w:rsid w:val="00075ACE"/>
    <w:rsid w:val="0009419E"/>
    <w:rsid w:val="000A0F38"/>
    <w:rsid w:val="000B424C"/>
    <w:rsid w:val="000E3423"/>
    <w:rsid w:val="00101FF3"/>
    <w:rsid w:val="00105B94"/>
    <w:rsid w:val="00162683"/>
    <w:rsid w:val="002B481A"/>
    <w:rsid w:val="002C78CC"/>
    <w:rsid w:val="002E5733"/>
    <w:rsid w:val="00341766"/>
    <w:rsid w:val="003456FD"/>
    <w:rsid w:val="003529A2"/>
    <w:rsid w:val="00392311"/>
    <w:rsid w:val="00395268"/>
    <w:rsid w:val="003A7C6A"/>
    <w:rsid w:val="003D1430"/>
    <w:rsid w:val="003F0286"/>
    <w:rsid w:val="00454BBF"/>
    <w:rsid w:val="004B385C"/>
    <w:rsid w:val="0067342F"/>
    <w:rsid w:val="006E3604"/>
    <w:rsid w:val="00700F3B"/>
    <w:rsid w:val="007211ED"/>
    <w:rsid w:val="00785E2D"/>
    <w:rsid w:val="007D6F92"/>
    <w:rsid w:val="008025F9"/>
    <w:rsid w:val="00856587"/>
    <w:rsid w:val="008B1B5B"/>
    <w:rsid w:val="008E6111"/>
    <w:rsid w:val="00904B4C"/>
    <w:rsid w:val="00945B40"/>
    <w:rsid w:val="00995573"/>
    <w:rsid w:val="009A1C24"/>
    <w:rsid w:val="009C2EA7"/>
    <w:rsid w:val="009D0B72"/>
    <w:rsid w:val="00A56834"/>
    <w:rsid w:val="00B84421"/>
    <w:rsid w:val="00BB5AF8"/>
    <w:rsid w:val="00BD770C"/>
    <w:rsid w:val="00CB03EB"/>
    <w:rsid w:val="00CB3CB8"/>
    <w:rsid w:val="00CD11ED"/>
    <w:rsid w:val="00D459A4"/>
    <w:rsid w:val="00D90C25"/>
    <w:rsid w:val="00E14ECA"/>
    <w:rsid w:val="00E932B0"/>
    <w:rsid w:val="00EB7052"/>
    <w:rsid w:val="00EC0489"/>
    <w:rsid w:val="00F26503"/>
    <w:rsid w:val="00F9219B"/>
    <w:rsid w:val="00FE4704"/>
    <w:rsid w:val="00FF5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AD2B"/>
  <w15:docId w15:val="{107C7F05-DB36-4904-8421-A49DD01C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6E3604"/>
    <w:pPr>
      <w:tabs>
        <w:tab w:val="center" w:pos="4680"/>
        <w:tab w:val="right" w:pos="9360"/>
      </w:tabs>
      <w:spacing w:after="0"/>
    </w:pPr>
  </w:style>
  <w:style w:type="character" w:customStyle="1" w:styleId="HeaderChar">
    <w:name w:val="Header Char"/>
    <w:basedOn w:val="DefaultParagraphFont"/>
    <w:link w:val="Header"/>
    <w:uiPriority w:val="99"/>
    <w:rsid w:val="006E3604"/>
  </w:style>
  <w:style w:type="paragraph" w:styleId="Footer">
    <w:name w:val="footer"/>
    <w:basedOn w:val="Normal"/>
    <w:link w:val="FooterChar"/>
    <w:rsid w:val="006E3604"/>
    <w:pPr>
      <w:tabs>
        <w:tab w:val="center" w:pos="4680"/>
        <w:tab w:val="right" w:pos="9360"/>
      </w:tabs>
      <w:spacing w:after="0"/>
    </w:pPr>
  </w:style>
  <w:style w:type="character" w:customStyle="1" w:styleId="FooterChar">
    <w:name w:val="Footer Char"/>
    <w:basedOn w:val="DefaultParagraphFont"/>
    <w:link w:val="Footer"/>
    <w:rsid w:val="006E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4483</Words>
  <Characters>25556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Perry Martin</cp:lastModifiedBy>
  <cp:revision>6</cp:revision>
  <cp:lastPrinted>2026-01-30T17:11:00Z</cp:lastPrinted>
  <dcterms:created xsi:type="dcterms:W3CDTF">2026-02-02T14:46:00Z</dcterms:created>
  <dcterms:modified xsi:type="dcterms:W3CDTF">2026-02-26T17:28:00Z</dcterms:modified>
</cp:coreProperties>
</file>