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2025-03-13</w:t>
      </w:r>
    </w:p>
    <w:p>
      <w:pPr>
        <w:pStyle w:val="AbstractTitle"/>
      </w:pPr>
      <w:r>
        <w:t xml:space="preserve">Résumé</w:t>
      </w:r>
    </w:p>
    <w:p>
      <w:pPr>
        <w:pStyle w:val="Abstract"/>
      </w:pPr>
      <w:r>
        <w:t xml:space="preserve">Proposition</w:t>
      </w:r>
      <w:r>
        <w:t xml:space="preserve"> </w:t>
      </w:r>
      <w:r>
        <w:t xml:space="preserve">de</w:t>
      </w:r>
      <w:r>
        <w:t xml:space="preserve"> </w:t>
      </w:r>
      <w:r>
        <w:t xml:space="preserve">leçon</w:t>
      </w:r>
      <w:r>
        <w:t xml:space="preserve"> </w:t>
      </w:r>
      <w:r>
        <w:t xml:space="preserve">soumise</w:t>
      </w:r>
      <w:r>
        <w:t xml:space="preserve"> </w:t>
      </w:r>
      <w:r>
        <w:t xml:space="preserve">à</w:t>
      </w:r>
      <w:r>
        <w:t xml:space="preserve"> </w:t>
      </w:r>
      <w:r>
        <w:t xml:space="preserve">The</w:t>
      </w:r>
      <w:r>
        <w:t xml:space="preserve"> </w:t>
      </w:r>
      <w:r>
        <w:t xml:space="preserve">Programming</w:t>
      </w:r>
      <w:r>
        <w:t xml:space="preserve"> </w:t>
      </w:r>
      <w:r>
        <w:t xml:space="preserve">Historian</w:t>
      </w:r>
      <w:r>
        <w:t xml:space="preserve"> </w:t>
      </w:r>
      <w:r>
        <w:t xml:space="preserve">(français)</w:t>
      </w:r>
    </w:p>
    <w:p>
      <w:pPr>
        <w:pStyle w:val="FirstParagraph"/>
      </w:pPr>
      <w:r>
        <w:t xml:space="preserve">Le logiciel</w:t>
      </w:r>
      <w:r>
        <w:t xml:space="preserve"> </w:t>
      </w:r>
      <w:hyperlink r:id="rId20">
        <w:r>
          <w:rPr>
            <w:rStyle w:val="Hyperlink"/>
          </w:rPr>
          <w:t xml:space="preserve">OpenRefine</w:t>
        </w:r>
      </w:hyperlink>
      <w:r>
        <w:t xml:space="preserve"> </w:t>
      </w:r>
      <w:r>
        <w:t xml:space="preserve">est connu pour améliorer la qualité des données existantes, principalement en les « nettoyant » en lot selon des critères établis et reproductibles. Depuis 2017, OpenRefine peut aussi être utilisé pour lancer un processus appelé «</w:t>
      </w:r>
      <w:r>
        <w:t xml:space="preserve"> </w:t>
      </w:r>
      <w:hyperlink r:id="rId21">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w:t>
      </w:r>
      <w:r>
        <w:t xml:space="preserve"> </w:t>
      </w:r>
      <w:hyperlink r:id="rId22">
        <w:r>
          <w:rPr>
            <w:rStyle w:val="Hyperlink"/>
          </w:rPr>
          <w:t xml:space="preserve">Wikidata</w:t>
        </w:r>
      </w:hyperlink>
      <w:r>
        <w:t xml:space="preserve">. Wikidata est une base de connaissances collaborative, structurée et multilingue, qui offre une grande richesse de contenus couvrant une vaste diversité de domaines, facilitant ainsi l’enrichissement des données et leur interconnexion dans l’écosystème des données ouvertes liées (</w:t>
      </w:r>
      <w:r>
        <w:rPr>
          <w:i/>
          <w:iCs/>
        </w:rPr>
        <w:t xml:space="preserve">linked open data</w:t>
      </w:r>
      <w:r>
        <w:t xml:space="preserve">). Ensuite, nous situerons cette leçon dans un cadre plus large afin d’améliorer ce processus, d’explorer d’autres services de réconciliation et d’adopter des méthodes similaires pertinentes pour la recherche en histoire. Enfin, nous terminerons par une réflexion sur l’apport et les biais de ces approches numériques.</w:t>
      </w:r>
    </w:p>
    <w:bookmarkStart w:id="56" w:name="exemple-pratique-pas-à-pas"/>
    <w:p>
      <w:pPr>
        <w:pStyle w:val="Heading1"/>
      </w:pPr>
      <w:r>
        <w:t xml:space="preserve">Exemple pratique pas-à-pas</w:t>
      </w:r>
    </w:p>
    <w:bookmarkStart w:id="24" w:name="installation"/>
    <w:p>
      <w:pPr>
        <w:pStyle w:val="Heading2"/>
      </w:pPr>
      <w:r>
        <w:t xml:space="preserve">Installation</w:t>
      </w:r>
    </w:p>
    <w:p>
      <w:pPr>
        <w:pStyle w:val="FirstParagraph"/>
      </w:pPr>
      <w:hyperlink r:id="rId23">
        <w:r>
          <w:rPr>
            <w:rStyle w:val="Hyperlink"/>
          </w:rPr>
          <w:t xml:space="preserve">Installer OpenRefine</w:t>
        </w:r>
      </w:hyperlink>
      <w:r>
        <w:t xml:space="preserve"> </w:t>
      </w:r>
      <w:r>
        <w:t xml:space="preserve">sur son ordinateur (Windows, Mac OS ou Linux). Comme il s’agit d’un programme qui s’execute dans le navigateur, il n’est pas nécessaire d’avoir des droits d’administrateur pour l’installer.</w:t>
      </w:r>
    </w:p>
    <w:bookmarkEnd w:id="24"/>
    <w:bookmarkStart w:id="29"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5">
        <w:r>
          <w:rPr>
            <w:rStyle w:val="Hyperlink"/>
          </w:rPr>
          <w:t xml:space="preserve">téléchargeable</w:t>
        </w:r>
      </w:hyperlink>
      <w:r>
        <w:t xml:space="preserve">) est sous la forme d’un fichier CSV encodé en UTF-8 (voir Figure 1). C’est un format ouvert idéal pour traiter et archiver des données tabulées. Veuillez noter que les résultats des processus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7" name="Picture"/>
            <a:graphic>
              <a:graphicData uri="http://schemas.openxmlformats.org/drawingml/2006/picture">
                <pic:pic>
                  <pic:nvPicPr>
                    <pic:cNvPr descr="images/figure1-apercu-csv.png" id="28" name="Picture"/>
                    <pic:cNvPicPr>
                      <a:picLocks noChangeArrowheads="1" noChangeAspect="1"/>
                    </pic:cNvPicPr>
                  </pic:nvPicPr>
                  <pic:blipFill>
                    <a:blip r:embed="rId26"/>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9"/>
    <w:bookmarkStart w:id="30" w:name="X142cf0c4d31a4d4dd7f6e471925dad56d8fce34"/>
    <w:p>
      <w:pPr>
        <w:pStyle w:val="Heading2"/>
      </w:pPr>
      <w:r>
        <w:t xml:space="preserve">Lancer OpenRefine et importer les données</w:t>
      </w:r>
    </w:p>
    <w:p>
      <w:pPr>
        <w:pStyle w:val="FirstParagraph"/>
      </w:pPr>
      <w:r>
        <w:t xml:space="preserve">Cliquez sur</w:t>
      </w:r>
      <w:r>
        <w:t xml:space="preserve"> </w:t>
      </w:r>
      <w:r>
        <w:rPr>
          <w:i/>
          <w:iCs/>
        </w:rPr>
        <w:t xml:space="preserve">Languages</w:t>
      </w:r>
      <w:r>
        <w:t xml:space="preserve"> </w:t>
      </w:r>
      <w:r>
        <w:t xml:space="preserve">et changer pour Français. Puis cliquez sur Créer un projet &gt; Cet ordinateur &gt; Sélect. fichiers &gt; Sélectionnez le fichier CSV &gt; Suivant &gt; Configurez les options d’analyse syntaxique : Les colonnes sont séparées par : une virgule &gt; Cliquez sur Créer un projet.</w:t>
      </w:r>
    </w:p>
    <w:p>
      <w:pPr>
        <w:pStyle w:val="BodyText"/>
      </w:pPr>
      <w:r>
        <w:t xml:space="preserve">Vérifiez que tout est bien importé ou changer les paramètres de la page Configurer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30"/>
    <w:bookmarkStart w:id="46"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Cliquez sur les options de la colonne Titre &gt; Editer la colonne &gt; Ajouter une colonne en fonction de cette colonne… &gt; Donnez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Réconciliez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2" name="Picture"/>
            <a:graphic>
              <a:graphicData uri="http://schemas.openxmlformats.org/drawingml/2006/picture">
                <pic:pic>
                  <pic:nvPicPr>
                    <pic:cNvPr descr="images/figure2-demarrer-reconciliation.png" id="33" name="Picture"/>
                    <pic:cNvPicPr>
                      <a:picLocks noChangeArrowheads="1" noChangeAspect="1"/>
                    </pic:cNvPicPr>
                  </pic:nvPicPr>
                  <pic:blipFill>
                    <a:blip r:embed="rId31"/>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Choisir un service… : Wikidata reconci.link &gt; Suivant.</w:t>
      </w:r>
    </w:p>
    <w:p>
      <w:pPr>
        <w:pStyle w:val="BodyText"/>
      </w:pPr>
      <w:r>
        <w:t xml:space="preserve">Dans la case de gauche (voir Figure 3), sélectionnez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ignorez les autres options &gt; Démarrer la réconciliation…</w:t>
      </w:r>
    </w:p>
    <w:p>
      <w:pPr>
        <w:pStyle w:val="CaptionedFigure"/>
      </w:pPr>
      <w:r>
        <w:drawing>
          <wp:inline>
            <wp:extent cx="5334000" cy="3448604"/>
            <wp:effectExtent b="0" l="0" r="0" t="0"/>
            <wp:docPr descr="Figure 3. - Options de réconciliation." title="" id="35" name="Picture"/>
            <a:graphic>
              <a:graphicData uri="http://schemas.openxmlformats.org/drawingml/2006/picture">
                <pic:pic>
                  <pic:nvPicPr>
                    <pic:cNvPr descr="images/figure3-options.png" id="36" name="Picture"/>
                    <pic:cNvPicPr>
                      <a:picLocks noChangeArrowheads="1" noChangeAspect="1"/>
                    </pic:cNvPicPr>
                  </pic:nvPicPr>
                  <pic:blipFill>
                    <a:blip r:embed="rId34"/>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Attendez que le processus se termine. On peut voir la progression dans une zone jaune en haut du tableau principal.</w:t>
      </w:r>
    </w:p>
    <w:p>
      <w:pPr>
        <w:pStyle w:val="BodyText"/>
      </w:pPr>
      <w:r>
        <w:t xml:space="preserve">Une fois terminé, observer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8" name="Picture"/>
            <a:graphic>
              <a:graphicData uri="http://schemas.openxmlformats.org/drawingml/2006/picture">
                <pic:pic>
                  <pic:nvPicPr>
                    <pic:cNvPr descr="images/figure4-exemple-donnee-reconciliee.png" id="39" name="Picture"/>
                    <pic:cNvPicPr>
                      <a:picLocks noChangeArrowheads="1" noChangeAspect="1"/>
                    </pic:cNvPicPr>
                  </pic:nvPicPr>
                  <pic:blipFill>
                    <a:blip r:embed="rId37"/>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41" name="Picture"/>
            <a:graphic>
              <a:graphicData uri="http://schemas.openxmlformats.org/drawingml/2006/picture">
                <pic:pic>
                  <pic:nvPicPr>
                    <pic:cNvPr descr="images/figure5-exemple-donnee-nonreconciliee.png" id="42" name="Picture"/>
                    <pic:cNvPicPr>
                      <a:picLocks noChangeArrowheads="1" noChangeAspect="1"/>
                    </pic:cNvPicPr>
                  </pic:nvPicPr>
                  <pic:blipFill>
                    <a:blip r:embed="rId40"/>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ignorez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rendez-vous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cliquer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4" name="Picture"/>
            <a:graphic>
              <a:graphicData uri="http://schemas.openxmlformats.org/drawingml/2006/picture">
                <pic:pic>
                  <pic:nvPicPr>
                    <pic:cNvPr descr="images/figure6-correspondance.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6"/>
    <w:bookmarkStart w:id="55"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Cliquez sur les options de la colonne Titre_RECON &gt; Éditer la colonne &gt; Ajouter des colonnes à partir de valeurs réconciliées &gt; Ajouter une propriété : Sélectionnez Propriétés suggérées : Qid &gt; OK. Il est aussi possible de cliquer sur les options de la colonne Titre_RECON &gt; Réconcilier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Recommencez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écrirez-les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8" name="Picture"/>
            <a:graphic>
              <a:graphicData uri="http://schemas.openxmlformats.org/drawingml/2006/picture">
                <pic:pic>
                  <pic:nvPicPr>
                    <pic:cNvPr descr="images/figure7-enrichissemen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50">
        <w:r>
          <w:rPr>
            <w:rStyle w:val="Hyperlink"/>
          </w:rPr>
          <w:t xml:space="preserve">en csv</w:t>
        </w:r>
      </w:hyperlink>
      <w:r>
        <w:t xml:space="preserve"> </w:t>
      </w:r>
      <w:r>
        <w:t xml:space="preserve">ou au</w:t>
      </w:r>
      <w:r>
        <w:t xml:space="preserve"> </w:t>
      </w:r>
      <w:hyperlink r:id="rId51">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3" name="Picture"/>
            <a:graphic>
              <a:graphicData uri="http://schemas.openxmlformats.org/drawingml/2006/picture">
                <pic:pic>
                  <pic:nvPicPr>
                    <pic:cNvPr descr="images/figure8-jeu-donnees-enrichies.png" id="54" name="Picture"/>
                    <pic:cNvPicPr>
                      <a:picLocks noChangeArrowheads="1" noChangeAspect="1"/>
                    </pic:cNvPicPr>
                  </pic:nvPicPr>
                  <pic:blipFill>
                    <a:blip r:embed="rId52"/>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5"/>
    <w:bookmarkEnd w:id="56"/>
    <w:bookmarkStart w:id="76" w:name="quelques-bonnes-pratiques"/>
    <w:p>
      <w:pPr>
        <w:pStyle w:val="Heading1"/>
      </w:pPr>
      <w:r>
        <w:t xml:space="preserve">Quelques bonnes pratiques</w:t>
      </w:r>
    </w:p>
    <w:bookmarkStart w:id="75"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7"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7"/>
    <w:bookmarkStart w:id="60"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8">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pour repérer des anciens lieux géographiques (sites, villes, etc.).</w:t>
      </w:r>
    </w:p>
    <w:p>
      <w:pPr>
        <w:numPr>
          <w:ilvl w:val="0"/>
          <w:numId w:val="1009"/>
        </w:numPr>
      </w:pPr>
      <w:r>
        <w:rPr>
          <w:i/>
          <w:iCs/>
        </w:rPr>
        <w:t xml:space="preserve">PeriodO</w:t>
      </w:r>
      <w:r>
        <w:t xml:space="preserve"> </w:t>
      </w:r>
      <w:r>
        <w:t xml:space="preserve">: pour repérer des périodes historiques ou archéologiques.</w:t>
      </w:r>
    </w:p>
    <w:p>
      <w:pPr>
        <w:numPr>
          <w:ilvl w:val="0"/>
          <w:numId w:val="1009"/>
        </w:numPr>
      </w:pPr>
      <w:r>
        <w:rPr>
          <w:i/>
          <w:iCs/>
        </w:rPr>
        <w:t xml:space="preserve">Kerameikos</w:t>
      </w:r>
      <w:r>
        <w:t xml:space="preserve"> </w:t>
      </w:r>
      <w:r>
        <w:t xml:space="preserve">: pour repérer des informations sur l’amphorologie et les céramiques anciennes.</w:t>
      </w:r>
    </w:p>
    <w:p>
      <w:pPr>
        <w:numPr>
          <w:ilvl w:val="0"/>
          <w:numId w:val="1009"/>
        </w:numPr>
      </w:pPr>
      <w:r>
        <w:rPr>
          <w:i/>
          <w:iCs/>
        </w:rPr>
        <w:t xml:space="preserve">GODOT – Graph of Dated Objects and Texts</w:t>
      </w:r>
      <w:r>
        <w:t xml:space="preserve"> </w:t>
      </w:r>
      <w:r>
        <w:t xml:space="preserve">: pour repérer des dates selon différents calendriers de Rome et de la Grèce antique.</w:t>
      </w:r>
    </w:p>
    <w:p>
      <w:pPr>
        <w:numPr>
          <w:ilvl w:val="0"/>
          <w:numId w:val="1009"/>
        </w:numPr>
      </w:pPr>
      <w:r>
        <w:rPr>
          <w:i/>
          <w:iCs/>
        </w:rPr>
        <w:t xml:space="preserve">Nomisma</w:t>
      </w:r>
      <w:r>
        <w:t xml:space="preserve"> </w:t>
      </w:r>
      <w:r>
        <w:t xml:space="preserve">: pour repérer des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Écrire à l’institution pour qu’elle mette en place un tel service.</w:t>
      </w:r>
    </w:p>
    <w:p>
      <w:pPr>
        <w:pStyle w:val="Compact"/>
        <w:numPr>
          <w:ilvl w:val="0"/>
          <w:numId w:val="1010"/>
        </w:numPr>
      </w:pPr>
      <w:r>
        <w:t xml:space="preserve">Utiliser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utiliser une colonne d’URL de pages web pour récupérer le contenu de ces pages et traiter leurs contenus pour en</w:t>
      </w:r>
      <w:r>
        <w:t xml:space="preserve"> </w:t>
      </w:r>
      <w:hyperlink r:id="rId59">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Télécharger les données ou la liste des données d’une institution et faire une réconciliation avec les informations téléchargées et traitées.</w:t>
      </w:r>
    </w:p>
    <w:bookmarkEnd w:id="60"/>
    <w:bookmarkStart w:id="67" w:name="X46b3c6d8a2174712d2cedd0f404c5063b0d74bc"/>
    <w:p>
      <w:pPr>
        <w:pStyle w:val="Heading3"/>
      </w:pPr>
      <w:r>
        <w:t xml:space="preserve">Y a-t-il d’autres méthodes pour réconcilier des données ?</w:t>
      </w:r>
    </w:p>
    <w:bookmarkStart w:id="63"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61">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2">
        <w:r>
          <w:rPr>
            <w:rStyle w:val="Hyperlink"/>
          </w:rPr>
          <w:t xml:space="preserve">reconcile-csv</w:t>
        </w:r>
      </w:hyperlink>
      <w:r>
        <w:t xml:space="preserve">.</w:t>
      </w:r>
    </w:p>
    <w:bookmarkEnd w:id="63"/>
    <w:bookmarkStart w:id="66"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4">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5">
        <w:r>
          <w:rPr>
            <w:rStyle w:val="Hyperlink"/>
          </w:rPr>
          <w:t xml:space="preserve">WikidataIntegrator</w:t>
        </w:r>
      </w:hyperlink>
      <w:r>
        <w:t xml:space="preserve"> </w:t>
      </w:r>
      <w:r>
        <w:t xml:space="preserve">qui va utiliser la valeur du Qid et les codes des propriétés à importer).</w:t>
      </w:r>
    </w:p>
    <w:bookmarkEnd w:id="66"/>
    <w:bookmarkEnd w:id="67"/>
    <w:bookmarkStart w:id="68"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documenter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8"/>
    <w:bookmarkStart w:id="69"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cliquez sur les options de la colonne Titre_RECON &gt; Réconcilier &gt; Ajouter une colonne d’identifiants d’entités… Donnez le titre de la colonne : Titre_QID</w:t>
      </w:r>
    </w:p>
    <w:bookmarkEnd w:id="69"/>
    <w:bookmarkStart w:id="72"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70" w:name="pour-une-réconciliation-plus-stricte"/>
    <w:p>
      <w:pPr>
        <w:pStyle w:val="Heading4"/>
      </w:pPr>
      <w:r>
        <w:t xml:space="preserve">Pour une réconciliation plus stricte</w:t>
      </w:r>
    </w:p>
    <w:p>
      <w:pPr>
        <w:pStyle w:val="Compact"/>
        <w:numPr>
          <w:ilvl w:val="0"/>
          <w:numId w:val="1011"/>
        </w:numPr>
      </w:pPr>
      <w:r>
        <w:t xml:space="preserve">Relancez une nouvelle réconciliation en choisissant un autre type de données recommandé.</w:t>
      </w:r>
    </w:p>
    <w:p>
      <w:pPr>
        <w:pStyle w:val="Compact"/>
        <w:numPr>
          <w:ilvl w:val="0"/>
          <w:numId w:val="1011"/>
        </w:numPr>
      </w:pPr>
      <w:r>
        <w:t xml:space="preserve">Décochez</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définissez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Appariez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70"/>
    <w:bookmarkStart w:id="71"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Relancez une réconciliation en choisissant Réconcilier sans type particulier.</w:t>
      </w:r>
    </w:p>
    <w:p>
      <w:pPr>
        <w:pStyle w:val="Compact"/>
        <w:numPr>
          <w:ilvl w:val="1"/>
          <w:numId w:val="1015"/>
        </w:numPr>
      </w:pPr>
      <w:r>
        <w:t xml:space="preserve">Observez les scores de reconciliation (entre parenthèses après les valeurs proposées, entre 0 et 100) et déterminez le score minimum adapté pour résoudre automatiquement les réconciliations.</w:t>
      </w:r>
    </w:p>
    <w:p>
      <w:pPr>
        <w:pStyle w:val="Compact"/>
        <w:numPr>
          <w:ilvl w:val="1"/>
          <w:numId w:val="1015"/>
        </w:numPr>
      </w:pPr>
      <w:r>
        <w:t xml:space="preserve">Si ce n’est pas déjà fait, faîtes afficher la facette Titre_RECON : meilleur score des candidats (en cliquant sur les options de la colonne &gt; Réconcilier &gt; Facettes &gt; Meilleur score des candidats)</w:t>
      </w:r>
    </w:p>
    <w:p>
      <w:pPr>
        <w:pStyle w:val="Compact"/>
        <w:numPr>
          <w:ilvl w:val="1"/>
          <w:numId w:val="1015"/>
        </w:numPr>
      </w:pPr>
      <w:r>
        <w:t xml:space="preserve">Déplacez l’intervalle vers 80-100.</w:t>
      </w:r>
    </w:p>
    <w:p>
      <w:pPr>
        <w:pStyle w:val="Compact"/>
        <w:numPr>
          <w:ilvl w:val="1"/>
          <w:numId w:val="1015"/>
        </w:numPr>
      </w:pPr>
      <w:r>
        <w:t xml:space="preserve">Cliquez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Relancez une réconciliation en choisissant un autre type de données recommandé.</w:t>
      </w:r>
    </w:p>
    <w:p>
      <w:pPr>
        <w:pStyle w:val="Compact"/>
        <w:numPr>
          <w:ilvl w:val="0"/>
          <w:numId w:val="1014"/>
        </w:numPr>
      </w:pPr>
      <w:r>
        <w:t xml:space="preserve">Traitez les données de la cellule pour une forme plus courte (ou non abrégée, ou sans acronymes) et relancez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71"/>
    <w:bookmarkEnd w:id="72"/>
    <w:bookmarkStart w:id="73"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3"/>
    <w:bookmarkStart w:id="74"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4"/>
    <w:bookmarkEnd w:id="75"/>
    <w:bookmarkEnd w:id="76"/>
    <w:bookmarkStart w:id="77" w:name="discussion"/>
    <w:p>
      <w:pPr>
        <w:pStyle w:val="Heading1"/>
      </w:pPr>
      <w:r>
        <w:t xml:space="preserve">Discussion</w:t>
      </w:r>
    </w:p>
    <w:p>
      <w:pPr>
        <w:pStyle w:val="FirstParagraph"/>
      </w:pPr>
      <w:r>
        <w:t xml:space="preserve">Comme le souligne Yann Audin (2024), « les logiciels, matériel informatique (hardware),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7"/>
    <w:bookmarkStart w:id="80" w:name="remerciements"/>
    <w:p>
      <w:pPr>
        <w:pStyle w:val="Heading1"/>
      </w:pPr>
      <w:r>
        <w:t xml:space="preserve">Remerciements</w:t>
      </w:r>
    </w:p>
    <w:p>
      <w:pPr>
        <w:pStyle w:val="FirstParagraph"/>
      </w:pPr>
      <w:r>
        <w:t xml:space="preserve">Je remercie</w:t>
      </w:r>
      <w:r>
        <w:t xml:space="preserve"> </w:t>
      </w:r>
      <w:hyperlink r:id="rId78">
        <w:r>
          <w:rPr>
            <w:rStyle w:val="Hyperlink"/>
          </w:rPr>
          <w:t xml:space="preserve">Maxime Guénette</w:t>
        </w:r>
      </w:hyperlink>
      <w:r>
        <w:t xml:space="preserve"> </w:t>
      </w:r>
      <w:r>
        <w:t xml:space="preserve">qui a suscité, relu et ajouté de nombreux conseils à cette leçon;</w:t>
      </w:r>
      <w:r>
        <w:t xml:space="preserve"> </w:t>
      </w:r>
      <w:hyperlink r:id="rId79">
        <w:r>
          <w:rPr>
            <w:rStyle w:val="Hyperlink"/>
          </w:rPr>
          <w:t xml:space="preserve">Caroline Patenaude</w:t>
        </w:r>
      </w:hyperlink>
      <w:r>
        <w:t xml:space="preserve"> </w:t>
      </w:r>
      <w:r>
        <w:t xml:space="preserve">pour sa relecture; Laurence Charest et Teresa Bascik pour leurs tests de versement de OpenRefine vers Wikidata; et enfin la communauté Wikimédia et Wikidata pour leurs contributions.</w:t>
      </w:r>
    </w:p>
    <w:bookmarkEnd w:id="80"/>
    <w:bookmarkStart w:id="89"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81">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2">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2">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3">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4">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5">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6">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20">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7">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61">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8">
        <w:r>
          <w:rPr>
            <w:rStyle w:val="Hyperlink"/>
          </w:rPr>
          <w:t xml:space="preserve">https://mdl.library.utoronto.ca/technology/tutorials/openrefine-augmenting-activity-2-using-reconciliation-services</w:t>
        </w:r>
      </w:hyperlink>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dc:title>
  <dc:creator>Pascal Martinolli</dc:creator>
  <dc:language>fr</dc:language>
  <cp:keywords/>
  <dcterms:created xsi:type="dcterms:W3CDTF">2025-03-14T13:48:35Z</dcterms:created>
  <dcterms:modified xsi:type="dcterms:W3CDTF">2025-03-14T13:48:35Z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Proposition de leçon soumise à The Programming Historian (français)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2025-03-13</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Wikidata</vt:lpwstr>
  </property>
  <property fmtid="{D5CDD505-2E9C-101B-9397-08002B2CF9AE}" pid="16" name="toc-title">
    <vt:lpwstr>Table des matières</vt:lpwstr>
  </property>
</Properties>
</file>