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402" w:rsidRDefault="00226402" w:rsidP="00226402">
      <w:pPr>
        <w:jc w:val="center"/>
        <w:rPr>
          <w:rFonts w:ascii="Arial" w:hAnsi="Arial" w:cs="Arial"/>
          <w:b/>
          <w:sz w:val="21"/>
          <w:szCs w:val="21"/>
          <w:lang w:val="en-US"/>
        </w:rPr>
      </w:pPr>
      <w:r w:rsidRPr="00226402">
        <w:rPr>
          <w:rFonts w:ascii="Arial" w:hAnsi="Arial" w:cs="Arial"/>
          <w:b/>
          <w:noProof/>
          <w:sz w:val="21"/>
          <w:szCs w:val="21"/>
          <w:lang w:eastAsia="el-GR"/>
        </w:rPr>
        <w:drawing>
          <wp:inline distT="0" distB="0" distL="0" distR="0">
            <wp:extent cx="2526927" cy="1174376"/>
            <wp:effectExtent l="19050" t="0" r="6723" b="0"/>
            <wp:docPr id="1" name="0 - Εικόνα" descr="logo_YPYNT_FEB 2015_new 1_el_xris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YPYNT_FEB 2015_new 1_el_xristos.jpg"/>
                    <pic:cNvPicPr/>
                  </pic:nvPicPr>
                  <pic:blipFill>
                    <a:blip r:embed="rId8" cstate="print"/>
                    <a:stretch>
                      <a:fillRect/>
                    </a:stretch>
                  </pic:blipFill>
                  <pic:spPr>
                    <a:xfrm>
                      <a:off x="0" y="0"/>
                      <a:ext cx="2531574" cy="1176536"/>
                    </a:xfrm>
                    <a:prstGeom prst="rect">
                      <a:avLst/>
                    </a:prstGeom>
                  </pic:spPr>
                </pic:pic>
              </a:graphicData>
            </a:graphic>
          </wp:inline>
        </w:drawing>
      </w:r>
    </w:p>
    <w:p w:rsidR="00226402" w:rsidRPr="009D0F7F" w:rsidRDefault="00226402" w:rsidP="00226402">
      <w:pPr>
        <w:spacing w:line="360" w:lineRule="auto"/>
        <w:jc w:val="center"/>
        <w:rPr>
          <w:rFonts w:ascii="Arial" w:hAnsi="Arial" w:cs="Arial"/>
          <w:b/>
        </w:rPr>
      </w:pPr>
      <w:r w:rsidRPr="009D0F7F">
        <w:rPr>
          <w:rFonts w:ascii="Arial" w:hAnsi="Arial" w:cs="Arial"/>
          <w:b/>
        </w:rPr>
        <w:t>ΓΕΝΙΚΗ ΓΡΑΜΜΑΤΕΙΑ ΒΙΟΜΗΧΑΝΙΑΣ</w:t>
      </w:r>
    </w:p>
    <w:p w:rsidR="00226402" w:rsidRPr="009D0F7F" w:rsidRDefault="00226402" w:rsidP="00226402">
      <w:pPr>
        <w:spacing w:line="360" w:lineRule="auto"/>
        <w:jc w:val="center"/>
        <w:rPr>
          <w:rFonts w:ascii="Arial" w:hAnsi="Arial" w:cs="Arial"/>
          <w:b/>
        </w:rPr>
      </w:pPr>
      <w:r w:rsidRPr="009D0F7F">
        <w:rPr>
          <w:rFonts w:ascii="Arial" w:eastAsia="Calibri" w:hAnsi="Arial" w:cs="Arial"/>
          <w:b/>
        </w:rPr>
        <w:t>ΓΕΝΙΚΗ ΔΙΕΥΘΥΝΣΗ ΒΙΟΜΗΧΑΝΙΚΗΣ ΚΑΙ ΕΠΙΧΕΙΡΗΜΑΤΙΚΗΣ ΠΟΛΙΤΙΚΗΣ</w:t>
      </w:r>
    </w:p>
    <w:p w:rsidR="00226402" w:rsidRDefault="00226402" w:rsidP="00226402">
      <w:pPr>
        <w:jc w:val="center"/>
        <w:rPr>
          <w:rFonts w:ascii="Arial" w:hAnsi="Arial" w:cs="Arial"/>
          <w:b/>
        </w:rPr>
      </w:pPr>
      <w:r w:rsidRPr="009D0F7F">
        <w:rPr>
          <w:rFonts w:ascii="Arial" w:hAnsi="Arial" w:cs="Arial"/>
          <w:b/>
        </w:rPr>
        <w:t>ΔΙΕΥΘΥΝΣΗ ΣΤΗΡΙΞΗΣ ΜΙΚΡΟΜΕΣΑΙΩΝ ΕΠΙΧΕΙΡΗΣΕΩΝ</w:t>
      </w:r>
      <w:r>
        <w:rPr>
          <w:rFonts w:ascii="Arial" w:hAnsi="Arial" w:cs="Arial"/>
          <w:b/>
        </w:rPr>
        <w:t xml:space="preserve"> </w:t>
      </w:r>
    </w:p>
    <w:p w:rsidR="00226402" w:rsidRPr="00226402" w:rsidRDefault="00226402" w:rsidP="00650256">
      <w:pPr>
        <w:jc w:val="center"/>
        <w:rPr>
          <w:rFonts w:ascii="Arial" w:hAnsi="Arial" w:cs="Arial"/>
          <w:b/>
          <w:sz w:val="21"/>
          <w:szCs w:val="21"/>
        </w:rPr>
      </w:pPr>
      <w:r>
        <w:rPr>
          <w:rFonts w:ascii="Arial" w:hAnsi="Arial" w:cs="Arial"/>
          <w:b/>
          <w:sz w:val="21"/>
          <w:szCs w:val="21"/>
        </w:rPr>
        <w:t xml:space="preserve">ΤΜΗΜΑ </w:t>
      </w:r>
      <w:r w:rsidR="00650256">
        <w:rPr>
          <w:rFonts w:ascii="Arial" w:hAnsi="Arial" w:cs="Arial"/>
          <w:b/>
          <w:sz w:val="21"/>
          <w:szCs w:val="21"/>
        </w:rPr>
        <w:t>ΠΟΛΙΤΙΚΩΝ ΚΑΙ ΔΟΜΩΝ ΥΠΟΣΤΗΡΙΞΗΣ ΜΙΚΡΟΜΕΣΑΙΩΝ ΕΠΙΧΕΙΡΗΣΕΩΝ</w:t>
      </w:r>
    </w:p>
    <w:p w:rsidR="00226402" w:rsidRPr="00226402" w:rsidRDefault="00226402" w:rsidP="00226402">
      <w:pPr>
        <w:jc w:val="center"/>
        <w:rPr>
          <w:rFonts w:ascii="Arial" w:hAnsi="Arial" w:cs="Arial"/>
          <w:b/>
          <w:sz w:val="21"/>
          <w:szCs w:val="21"/>
        </w:rPr>
      </w:pPr>
    </w:p>
    <w:p w:rsidR="00226402" w:rsidRPr="00226402" w:rsidRDefault="00226402" w:rsidP="00226402">
      <w:pPr>
        <w:jc w:val="center"/>
        <w:rPr>
          <w:rFonts w:ascii="Arial" w:hAnsi="Arial" w:cs="Arial"/>
          <w:b/>
          <w:sz w:val="21"/>
          <w:szCs w:val="21"/>
        </w:rPr>
      </w:pPr>
    </w:p>
    <w:p w:rsidR="00226402" w:rsidRPr="00226402" w:rsidRDefault="00226402" w:rsidP="00226402">
      <w:pPr>
        <w:jc w:val="center"/>
        <w:rPr>
          <w:rFonts w:ascii="Arial" w:hAnsi="Arial" w:cs="Arial"/>
          <w:b/>
          <w:sz w:val="21"/>
          <w:szCs w:val="21"/>
        </w:rPr>
      </w:pPr>
    </w:p>
    <w:p w:rsidR="00226402" w:rsidRPr="00226402" w:rsidRDefault="00226402" w:rsidP="00226402">
      <w:pPr>
        <w:jc w:val="center"/>
        <w:rPr>
          <w:rFonts w:ascii="Arial" w:hAnsi="Arial" w:cs="Arial"/>
          <w:b/>
          <w:sz w:val="21"/>
          <w:szCs w:val="21"/>
        </w:rPr>
      </w:pPr>
    </w:p>
    <w:p w:rsidR="00226402" w:rsidRPr="00226402" w:rsidRDefault="00226402" w:rsidP="00226402">
      <w:pPr>
        <w:jc w:val="center"/>
        <w:rPr>
          <w:rFonts w:ascii="Arial" w:hAnsi="Arial" w:cs="Arial"/>
          <w:b/>
          <w:sz w:val="21"/>
          <w:szCs w:val="21"/>
        </w:rPr>
      </w:pPr>
    </w:p>
    <w:p w:rsidR="00226402" w:rsidRPr="00226402" w:rsidRDefault="00226402" w:rsidP="00226402">
      <w:pPr>
        <w:jc w:val="center"/>
        <w:rPr>
          <w:rFonts w:ascii="Arial" w:hAnsi="Arial" w:cs="Arial"/>
          <w:b/>
          <w:sz w:val="21"/>
          <w:szCs w:val="21"/>
        </w:rPr>
      </w:pPr>
    </w:p>
    <w:p w:rsidR="00226402" w:rsidRPr="00226402" w:rsidRDefault="00226402" w:rsidP="00226402">
      <w:pPr>
        <w:jc w:val="center"/>
        <w:rPr>
          <w:rFonts w:ascii="Arial" w:hAnsi="Arial" w:cs="Arial"/>
          <w:sz w:val="21"/>
          <w:szCs w:val="21"/>
        </w:rPr>
      </w:pPr>
      <w:r w:rsidRPr="00226402">
        <w:rPr>
          <w:rFonts w:ascii="Arial" w:hAnsi="Arial" w:cs="Arial"/>
          <w:sz w:val="21"/>
          <w:szCs w:val="21"/>
        </w:rPr>
        <w:t>ΠΡΟΓΡΑΜΜΑ ΚΡΑΤΙΚΩΝ ΕΝΙΣΧΥΣΕΩΝ</w:t>
      </w:r>
    </w:p>
    <w:p w:rsidR="00226402" w:rsidRPr="00432494" w:rsidRDefault="00226402" w:rsidP="00226402">
      <w:pPr>
        <w:jc w:val="center"/>
        <w:rPr>
          <w:rFonts w:ascii="Arial" w:hAnsi="Arial" w:cs="Arial"/>
          <w:b/>
          <w:i/>
          <w:sz w:val="21"/>
          <w:szCs w:val="21"/>
        </w:rPr>
      </w:pPr>
      <w:r w:rsidRPr="00283A5B">
        <w:rPr>
          <w:rFonts w:ascii="Arial" w:hAnsi="Arial" w:cs="Arial"/>
          <w:b/>
          <w:sz w:val="21"/>
          <w:szCs w:val="21"/>
        </w:rPr>
        <w:t>«ΕΞΩΣΤΡΕΦΕΙΑ – ΑΝΤΑΓΩΝΙΣΤΙΚΟΤΗΤΑ ΤΩΝ ΕΠΙΧΕΙΡΗΣΕΩΝ»</w:t>
      </w:r>
      <w:r w:rsidR="00E3323B">
        <w:rPr>
          <w:rFonts w:ascii="Arial" w:hAnsi="Arial" w:cs="Arial"/>
          <w:b/>
          <w:sz w:val="21"/>
          <w:szCs w:val="21"/>
        </w:rPr>
        <w:t xml:space="preserve"> </w:t>
      </w:r>
      <w:r w:rsidR="00E3323B" w:rsidRPr="00432494">
        <w:rPr>
          <w:rFonts w:ascii="Arial" w:hAnsi="Arial" w:cs="Arial"/>
          <w:b/>
          <w:i/>
          <w:sz w:val="21"/>
          <w:szCs w:val="21"/>
        </w:rPr>
        <w:t>(Ι)</w:t>
      </w:r>
    </w:p>
    <w:p w:rsidR="00226402" w:rsidRPr="00226402" w:rsidRDefault="00226402" w:rsidP="00226402">
      <w:pPr>
        <w:jc w:val="center"/>
        <w:rPr>
          <w:rFonts w:ascii="Arial" w:hAnsi="Arial" w:cs="Arial"/>
          <w:sz w:val="21"/>
          <w:szCs w:val="21"/>
        </w:rPr>
      </w:pPr>
      <w:r w:rsidRPr="00226402">
        <w:rPr>
          <w:rFonts w:ascii="Arial" w:hAnsi="Arial" w:cs="Arial"/>
          <w:sz w:val="21"/>
          <w:szCs w:val="21"/>
        </w:rPr>
        <w:t>ΕΠΙΧΕΙΡΗΣΙΑΚΟ ΠΡΟΓΡΑΜΜΑ «ΑΝΤΑΓΩΝΙΣΤΙΚΟΤΗΤΑ-ΕΠΙΧΕΙΡΗΜΑΤΙΚΟΤΗΤΑ» 2007-2013</w:t>
      </w:r>
    </w:p>
    <w:p w:rsidR="00226402" w:rsidRPr="00082087" w:rsidRDefault="00226402" w:rsidP="00226402">
      <w:pPr>
        <w:jc w:val="center"/>
        <w:rPr>
          <w:rFonts w:ascii="Arial" w:hAnsi="Arial" w:cs="Arial"/>
          <w:b/>
          <w:sz w:val="21"/>
          <w:szCs w:val="21"/>
        </w:rPr>
      </w:pPr>
      <w:r w:rsidRPr="00283A5B">
        <w:rPr>
          <w:rFonts w:ascii="Arial" w:hAnsi="Arial" w:cs="Arial"/>
          <w:b/>
          <w:sz w:val="21"/>
          <w:szCs w:val="21"/>
        </w:rPr>
        <w:t xml:space="preserve">ΑΞΙΟΛΟΓΗΣΗ ΑΠΟΤΕΛΕΣΜΑΤΩΝ </w:t>
      </w:r>
    </w:p>
    <w:p w:rsidR="00226402" w:rsidRPr="00283A5B" w:rsidRDefault="00226402" w:rsidP="00226402">
      <w:pPr>
        <w:jc w:val="center"/>
        <w:rPr>
          <w:rFonts w:ascii="Arial" w:hAnsi="Arial" w:cs="Arial"/>
          <w:b/>
          <w:sz w:val="21"/>
          <w:szCs w:val="21"/>
        </w:rPr>
      </w:pPr>
      <w:r w:rsidRPr="00283A5B">
        <w:rPr>
          <w:rFonts w:ascii="Arial" w:hAnsi="Arial" w:cs="Arial"/>
          <w:b/>
          <w:sz w:val="21"/>
          <w:szCs w:val="21"/>
        </w:rPr>
        <w:t>(</w:t>
      </w:r>
      <w:r w:rsidRPr="00283A5B">
        <w:rPr>
          <w:rFonts w:ascii="Arial" w:hAnsi="Arial" w:cs="Arial"/>
          <w:b/>
          <w:sz w:val="21"/>
          <w:szCs w:val="21"/>
          <w:lang w:val="en-US"/>
        </w:rPr>
        <w:t>EX</w:t>
      </w:r>
      <w:r w:rsidRPr="00283A5B">
        <w:rPr>
          <w:rFonts w:ascii="Arial" w:hAnsi="Arial" w:cs="Arial"/>
          <w:b/>
          <w:sz w:val="21"/>
          <w:szCs w:val="21"/>
        </w:rPr>
        <w:t>-</w:t>
      </w:r>
      <w:r w:rsidRPr="00283A5B">
        <w:rPr>
          <w:rFonts w:ascii="Arial" w:hAnsi="Arial" w:cs="Arial"/>
          <w:b/>
          <w:sz w:val="21"/>
          <w:szCs w:val="21"/>
          <w:lang w:val="en-US"/>
        </w:rPr>
        <w:t>POST</w:t>
      </w:r>
      <w:r w:rsidRPr="00226402">
        <w:rPr>
          <w:rFonts w:ascii="Arial" w:hAnsi="Arial" w:cs="Arial"/>
          <w:b/>
          <w:sz w:val="21"/>
          <w:szCs w:val="21"/>
        </w:rPr>
        <w:t xml:space="preserve"> </w:t>
      </w:r>
      <w:r w:rsidRPr="00283A5B">
        <w:rPr>
          <w:rFonts w:ascii="Arial" w:hAnsi="Arial" w:cs="Arial"/>
          <w:b/>
          <w:sz w:val="21"/>
          <w:szCs w:val="21"/>
          <w:lang w:val="en-US"/>
        </w:rPr>
        <w:t>EVALUATION</w:t>
      </w:r>
      <w:r w:rsidRPr="00283A5B">
        <w:rPr>
          <w:rFonts w:ascii="Arial" w:hAnsi="Arial" w:cs="Arial"/>
          <w:b/>
          <w:sz w:val="21"/>
          <w:szCs w:val="21"/>
        </w:rPr>
        <w:t>)</w:t>
      </w:r>
    </w:p>
    <w:p w:rsidR="00226402" w:rsidRDefault="00226402">
      <w:pPr>
        <w:rPr>
          <w:rFonts w:ascii="Arial" w:hAnsi="Arial" w:cs="Arial"/>
          <w:b/>
          <w:sz w:val="21"/>
          <w:szCs w:val="21"/>
        </w:rPr>
      </w:pPr>
    </w:p>
    <w:p w:rsidR="00226402" w:rsidRPr="00082087" w:rsidRDefault="00226402">
      <w:pPr>
        <w:rPr>
          <w:rFonts w:ascii="Arial" w:hAnsi="Arial" w:cs="Arial"/>
          <w:b/>
          <w:sz w:val="21"/>
          <w:szCs w:val="21"/>
        </w:rPr>
      </w:pPr>
    </w:p>
    <w:p w:rsidR="00226402" w:rsidRPr="00082087" w:rsidRDefault="00226402">
      <w:pPr>
        <w:rPr>
          <w:rFonts w:ascii="Arial" w:hAnsi="Arial" w:cs="Arial"/>
          <w:b/>
          <w:sz w:val="21"/>
          <w:szCs w:val="21"/>
        </w:rPr>
      </w:pPr>
    </w:p>
    <w:p w:rsidR="00226402" w:rsidRPr="00082087" w:rsidRDefault="00226402">
      <w:pPr>
        <w:rPr>
          <w:rFonts w:ascii="Arial" w:hAnsi="Arial" w:cs="Arial"/>
          <w:b/>
          <w:sz w:val="21"/>
          <w:szCs w:val="21"/>
        </w:rPr>
      </w:pPr>
    </w:p>
    <w:p w:rsidR="00226402" w:rsidRPr="00082087" w:rsidRDefault="00226402">
      <w:pPr>
        <w:rPr>
          <w:rFonts w:ascii="Arial" w:hAnsi="Arial" w:cs="Arial"/>
          <w:b/>
          <w:sz w:val="21"/>
          <w:szCs w:val="21"/>
        </w:rPr>
      </w:pPr>
    </w:p>
    <w:p w:rsidR="00226402" w:rsidRPr="00082087" w:rsidRDefault="00226402">
      <w:pPr>
        <w:rPr>
          <w:rFonts w:ascii="Arial" w:hAnsi="Arial" w:cs="Arial"/>
          <w:b/>
          <w:sz w:val="21"/>
          <w:szCs w:val="21"/>
        </w:rPr>
      </w:pPr>
    </w:p>
    <w:p w:rsidR="00226402" w:rsidRPr="00082087" w:rsidRDefault="00226402">
      <w:pPr>
        <w:rPr>
          <w:rFonts w:ascii="Arial" w:hAnsi="Arial" w:cs="Arial"/>
          <w:b/>
          <w:sz w:val="21"/>
          <w:szCs w:val="21"/>
        </w:rPr>
      </w:pPr>
    </w:p>
    <w:p w:rsidR="00446AF4" w:rsidRDefault="00226402" w:rsidP="00446AF4">
      <w:pPr>
        <w:jc w:val="center"/>
        <w:rPr>
          <w:rFonts w:ascii="Arial" w:hAnsi="Arial" w:cs="Arial"/>
          <w:sz w:val="24"/>
          <w:szCs w:val="24"/>
        </w:rPr>
      </w:pPr>
      <w:r w:rsidRPr="00226402">
        <w:rPr>
          <w:rFonts w:ascii="Arial" w:hAnsi="Arial" w:cs="Arial"/>
          <w:sz w:val="21"/>
          <w:szCs w:val="21"/>
        </w:rPr>
        <w:t>Νοέμβριος 2017</w:t>
      </w:r>
      <w:r w:rsidR="00446AF4">
        <w:rPr>
          <w:rFonts w:ascii="Arial" w:hAnsi="Arial" w:cs="Arial"/>
          <w:sz w:val="24"/>
          <w:szCs w:val="24"/>
        </w:rPr>
        <w:br w:type="page"/>
      </w:r>
    </w:p>
    <w:sdt>
      <w:sdtPr>
        <w:rPr>
          <w:rFonts w:asciiTheme="minorHAnsi" w:eastAsiaTheme="minorHAnsi" w:hAnsiTheme="minorHAnsi" w:cstheme="minorBidi"/>
          <w:b w:val="0"/>
          <w:bCs w:val="0"/>
          <w:color w:val="auto"/>
          <w:sz w:val="22"/>
          <w:szCs w:val="22"/>
        </w:rPr>
        <w:id w:val="261443976"/>
        <w:docPartObj>
          <w:docPartGallery w:val="Table of Contents"/>
          <w:docPartUnique/>
        </w:docPartObj>
      </w:sdtPr>
      <w:sdtContent>
        <w:p w:rsidR="003508A6" w:rsidRDefault="003508A6" w:rsidP="003508A6">
          <w:pPr>
            <w:pStyle w:val="a9"/>
            <w:spacing w:line="360" w:lineRule="auto"/>
            <w:rPr>
              <w:rFonts w:ascii="Arial" w:hAnsi="Arial" w:cs="Arial"/>
              <w:color w:val="auto"/>
              <w:sz w:val="24"/>
              <w:szCs w:val="24"/>
            </w:rPr>
          </w:pPr>
          <w:r w:rsidRPr="003508A6">
            <w:rPr>
              <w:rFonts w:ascii="Arial" w:hAnsi="Arial" w:cs="Arial"/>
              <w:color w:val="auto"/>
              <w:sz w:val="24"/>
              <w:szCs w:val="24"/>
            </w:rPr>
            <w:t>Πίνακας περιεχομένων</w:t>
          </w:r>
        </w:p>
        <w:p w:rsidR="003508A6" w:rsidRPr="003508A6" w:rsidRDefault="003508A6" w:rsidP="003508A6">
          <w:pPr>
            <w:spacing w:line="360" w:lineRule="auto"/>
          </w:pPr>
        </w:p>
        <w:p w:rsidR="003508A6" w:rsidRPr="003508A6" w:rsidRDefault="00FB46F4" w:rsidP="003508A6">
          <w:pPr>
            <w:pStyle w:val="12"/>
            <w:tabs>
              <w:tab w:val="right" w:leader="dot" w:pos="9345"/>
            </w:tabs>
            <w:spacing w:line="360" w:lineRule="auto"/>
            <w:rPr>
              <w:rFonts w:ascii="Arial" w:eastAsiaTheme="minorEastAsia" w:hAnsi="Arial" w:cs="Arial"/>
              <w:noProof/>
              <w:lang w:eastAsia="el-GR"/>
            </w:rPr>
          </w:pPr>
          <w:r w:rsidRPr="003508A6">
            <w:rPr>
              <w:rFonts w:ascii="Arial" w:hAnsi="Arial" w:cs="Arial"/>
            </w:rPr>
            <w:fldChar w:fldCharType="begin"/>
          </w:r>
          <w:r w:rsidR="003508A6" w:rsidRPr="003508A6">
            <w:rPr>
              <w:rFonts w:ascii="Arial" w:hAnsi="Arial" w:cs="Arial"/>
            </w:rPr>
            <w:instrText xml:space="preserve"> TOC \o "1-3" \h \z \u </w:instrText>
          </w:r>
          <w:r w:rsidRPr="003508A6">
            <w:rPr>
              <w:rFonts w:ascii="Arial" w:hAnsi="Arial" w:cs="Arial"/>
            </w:rPr>
            <w:fldChar w:fldCharType="separate"/>
          </w:r>
          <w:hyperlink w:anchor="_Toc498076504" w:history="1">
            <w:r w:rsidR="003508A6" w:rsidRPr="003508A6">
              <w:rPr>
                <w:rStyle w:val="-"/>
                <w:rFonts w:ascii="Arial" w:hAnsi="Arial" w:cs="Arial"/>
                <w:noProof/>
              </w:rPr>
              <w:t>Σύνοψη</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_Toc498076504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3</w:t>
            </w:r>
            <w:r w:rsidRPr="003508A6">
              <w:rPr>
                <w:rFonts w:ascii="Arial" w:hAnsi="Arial" w:cs="Arial"/>
                <w:noProof/>
                <w:webHidden/>
              </w:rPr>
              <w:fldChar w:fldCharType="end"/>
            </w:r>
          </w:hyperlink>
        </w:p>
        <w:p w:rsidR="003508A6" w:rsidRPr="003508A6" w:rsidRDefault="00FB46F4" w:rsidP="003508A6">
          <w:pPr>
            <w:pStyle w:val="12"/>
            <w:tabs>
              <w:tab w:val="left" w:pos="440"/>
              <w:tab w:val="right" w:leader="dot" w:pos="9345"/>
            </w:tabs>
            <w:spacing w:line="360" w:lineRule="auto"/>
            <w:rPr>
              <w:rFonts w:ascii="Arial" w:eastAsiaTheme="minorEastAsia" w:hAnsi="Arial" w:cs="Arial"/>
              <w:noProof/>
              <w:lang w:eastAsia="el-GR"/>
            </w:rPr>
          </w:pPr>
          <w:hyperlink w:anchor="_Toc498076505" w:history="1">
            <w:r w:rsidR="003508A6" w:rsidRPr="003508A6">
              <w:rPr>
                <w:rStyle w:val="-"/>
                <w:rFonts w:ascii="Arial" w:hAnsi="Arial" w:cs="Arial"/>
                <w:noProof/>
              </w:rPr>
              <w:t>1.</w:t>
            </w:r>
            <w:r w:rsidR="003508A6" w:rsidRPr="003508A6">
              <w:rPr>
                <w:rFonts w:ascii="Arial" w:eastAsiaTheme="minorEastAsia" w:hAnsi="Arial" w:cs="Arial"/>
                <w:noProof/>
                <w:lang w:eastAsia="el-GR"/>
              </w:rPr>
              <w:tab/>
            </w:r>
            <w:r w:rsidR="003508A6" w:rsidRPr="003508A6">
              <w:rPr>
                <w:rStyle w:val="-"/>
                <w:rFonts w:ascii="Arial" w:hAnsi="Arial" w:cs="Arial"/>
                <w:noProof/>
              </w:rPr>
              <w:t>Ιστορικό  - Γενικά στοιχεία</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_Toc498076505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5</w:t>
            </w:r>
            <w:r w:rsidRPr="003508A6">
              <w:rPr>
                <w:rFonts w:ascii="Arial" w:hAnsi="Arial" w:cs="Arial"/>
                <w:noProof/>
                <w:webHidden/>
              </w:rPr>
              <w:fldChar w:fldCharType="end"/>
            </w:r>
          </w:hyperlink>
        </w:p>
        <w:p w:rsidR="003508A6" w:rsidRPr="003508A6" w:rsidRDefault="00FB46F4" w:rsidP="003508A6">
          <w:pPr>
            <w:pStyle w:val="12"/>
            <w:tabs>
              <w:tab w:val="left" w:pos="440"/>
              <w:tab w:val="right" w:leader="dot" w:pos="9345"/>
            </w:tabs>
            <w:spacing w:line="360" w:lineRule="auto"/>
            <w:rPr>
              <w:rFonts w:ascii="Arial" w:eastAsiaTheme="minorEastAsia" w:hAnsi="Arial" w:cs="Arial"/>
              <w:noProof/>
              <w:lang w:eastAsia="el-GR"/>
            </w:rPr>
          </w:pPr>
          <w:hyperlink w:anchor="_Toc498076506" w:history="1">
            <w:r w:rsidR="003508A6" w:rsidRPr="003508A6">
              <w:rPr>
                <w:rStyle w:val="-"/>
                <w:rFonts w:ascii="Arial" w:hAnsi="Arial" w:cs="Arial"/>
                <w:noProof/>
              </w:rPr>
              <w:t>2.</w:t>
            </w:r>
            <w:r w:rsidR="003508A6" w:rsidRPr="003508A6">
              <w:rPr>
                <w:rFonts w:ascii="Arial" w:eastAsiaTheme="minorEastAsia" w:hAnsi="Arial" w:cs="Arial"/>
                <w:noProof/>
                <w:lang w:eastAsia="el-GR"/>
              </w:rPr>
              <w:tab/>
            </w:r>
            <w:r w:rsidR="003508A6" w:rsidRPr="003508A6">
              <w:rPr>
                <w:rStyle w:val="-"/>
                <w:rFonts w:ascii="Arial" w:hAnsi="Arial" w:cs="Arial"/>
                <w:noProof/>
              </w:rPr>
              <w:t>Ανάλυση συμπερασμάτων</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_Toc498076506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7</w:t>
            </w:r>
            <w:r w:rsidRPr="003508A6">
              <w:rPr>
                <w:rFonts w:ascii="Arial" w:hAnsi="Arial" w:cs="Arial"/>
                <w:noProof/>
                <w:webHidden/>
              </w:rPr>
              <w:fldChar w:fldCharType="end"/>
            </w:r>
          </w:hyperlink>
        </w:p>
        <w:p w:rsidR="003508A6" w:rsidRPr="003508A6" w:rsidRDefault="00FB46F4" w:rsidP="003508A6">
          <w:pPr>
            <w:pStyle w:val="21"/>
            <w:tabs>
              <w:tab w:val="right" w:leader="dot" w:pos="9345"/>
            </w:tabs>
            <w:spacing w:line="360" w:lineRule="auto"/>
            <w:rPr>
              <w:rFonts w:ascii="Arial" w:eastAsiaTheme="minorEastAsia" w:hAnsi="Arial" w:cs="Arial"/>
              <w:noProof/>
              <w:lang w:eastAsia="el-GR"/>
            </w:rPr>
          </w:pPr>
          <w:hyperlink w:anchor="_Toc498076507" w:history="1">
            <w:r w:rsidR="003508A6" w:rsidRPr="003508A6">
              <w:rPr>
                <w:rStyle w:val="-"/>
                <w:rFonts w:ascii="Arial" w:hAnsi="Arial" w:cs="Arial"/>
                <w:noProof/>
              </w:rPr>
              <w:t>2.1 Ανάλυση μεγέθους</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_Toc498076507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7</w:t>
            </w:r>
            <w:r w:rsidRPr="003508A6">
              <w:rPr>
                <w:rFonts w:ascii="Arial" w:hAnsi="Arial" w:cs="Arial"/>
                <w:noProof/>
                <w:webHidden/>
              </w:rPr>
              <w:fldChar w:fldCharType="end"/>
            </w:r>
          </w:hyperlink>
        </w:p>
        <w:p w:rsidR="003508A6" w:rsidRPr="003508A6" w:rsidRDefault="00FB46F4" w:rsidP="003508A6">
          <w:pPr>
            <w:pStyle w:val="21"/>
            <w:tabs>
              <w:tab w:val="right" w:leader="dot" w:pos="9345"/>
            </w:tabs>
            <w:spacing w:line="360" w:lineRule="auto"/>
            <w:rPr>
              <w:rFonts w:ascii="Arial" w:eastAsiaTheme="minorEastAsia" w:hAnsi="Arial" w:cs="Arial"/>
              <w:noProof/>
              <w:lang w:eastAsia="el-GR"/>
            </w:rPr>
          </w:pPr>
          <w:hyperlink w:anchor="_Toc498076508" w:history="1">
            <w:r w:rsidR="003508A6" w:rsidRPr="003508A6">
              <w:rPr>
                <w:rStyle w:val="-"/>
                <w:rFonts w:ascii="Arial" w:hAnsi="Arial" w:cs="Arial"/>
                <w:noProof/>
              </w:rPr>
              <w:t>2.2 Κλαδική ανάλυση</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_Toc498076508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8</w:t>
            </w:r>
            <w:r w:rsidRPr="003508A6">
              <w:rPr>
                <w:rFonts w:ascii="Arial" w:hAnsi="Arial" w:cs="Arial"/>
                <w:noProof/>
                <w:webHidden/>
              </w:rPr>
              <w:fldChar w:fldCharType="end"/>
            </w:r>
          </w:hyperlink>
        </w:p>
        <w:p w:rsidR="003508A6" w:rsidRPr="003508A6" w:rsidRDefault="00FB46F4" w:rsidP="003508A6">
          <w:pPr>
            <w:pStyle w:val="21"/>
            <w:tabs>
              <w:tab w:val="right" w:leader="dot" w:pos="9345"/>
            </w:tabs>
            <w:spacing w:line="360" w:lineRule="auto"/>
            <w:rPr>
              <w:rFonts w:ascii="Arial" w:eastAsiaTheme="minorEastAsia" w:hAnsi="Arial" w:cs="Arial"/>
              <w:noProof/>
              <w:lang w:eastAsia="el-GR"/>
            </w:rPr>
          </w:pPr>
          <w:hyperlink w:anchor="_Toc498076509" w:history="1">
            <w:r w:rsidR="003508A6" w:rsidRPr="003508A6">
              <w:rPr>
                <w:rStyle w:val="-"/>
                <w:rFonts w:ascii="Arial" w:hAnsi="Arial" w:cs="Arial"/>
                <w:noProof/>
              </w:rPr>
              <w:t>2.3 Συσχέτιση μεγέθους με κλάδο</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_Toc498076509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12</w:t>
            </w:r>
            <w:r w:rsidRPr="003508A6">
              <w:rPr>
                <w:rFonts w:ascii="Arial" w:hAnsi="Arial" w:cs="Arial"/>
                <w:noProof/>
                <w:webHidden/>
              </w:rPr>
              <w:fldChar w:fldCharType="end"/>
            </w:r>
          </w:hyperlink>
        </w:p>
        <w:p w:rsidR="003508A6" w:rsidRPr="003508A6" w:rsidRDefault="00FB46F4" w:rsidP="003508A6">
          <w:pPr>
            <w:pStyle w:val="21"/>
            <w:tabs>
              <w:tab w:val="right" w:leader="dot" w:pos="9345"/>
            </w:tabs>
            <w:spacing w:line="360" w:lineRule="auto"/>
            <w:rPr>
              <w:rFonts w:ascii="Arial" w:eastAsiaTheme="minorEastAsia" w:hAnsi="Arial" w:cs="Arial"/>
              <w:noProof/>
              <w:lang w:eastAsia="el-GR"/>
            </w:rPr>
          </w:pPr>
          <w:hyperlink w:anchor="_Toc498076510" w:history="1">
            <w:r w:rsidR="003508A6" w:rsidRPr="003508A6">
              <w:rPr>
                <w:rStyle w:val="-"/>
                <w:rFonts w:ascii="Arial" w:hAnsi="Arial" w:cs="Arial"/>
                <w:noProof/>
              </w:rPr>
              <w:t>2.4 Ανάλυση ανά περιφέρεια και μέγεθος (περιφερειακή διάσταση)</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_Toc498076510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14</w:t>
            </w:r>
            <w:r w:rsidRPr="003508A6">
              <w:rPr>
                <w:rFonts w:ascii="Arial" w:hAnsi="Arial" w:cs="Arial"/>
                <w:noProof/>
                <w:webHidden/>
              </w:rPr>
              <w:fldChar w:fldCharType="end"/>
            </w:r>
          </w:hyperlink>
        </w:p>
        <w:p w:rsidR="003508A6" w:rsidRPr="003508A6" w:rsidRDefault="00FB46F4" w:rsidP="003508A6">
          <w:pPr>
            <w:pStyle w:val="12"/>
            <w:tabs>
              <w:tab w:val="left" w:pos="440"/>
              <w:tab w:val="right" w:leader="dot" w:pos="9345"/>
            </w:tabs>
            <w:spacing w:line="360" w:lineRule="auto"/>
            <w:rPr>
              <w:rFonts w:ascii="Arial" w:eastAsiaTheme="minorEastAsia" w:hAnsi="Arial" w:cs="Arial"/>
              <w:noProof/>
              <w:lang w:eastAsia="el-GR"/>
            </w:rPr>
          </w:pPr>
          <w:hyperlink w:anchor="_Toc498076511" w:history="1">
            <w:r w:rsidR="003508A6" w:rsidRPr="003508A6">
              <w:rPr>
                <w:rStyle w:val="-"/>
                <w:rFonts w:ascii="Arial" w:hAnsi="Arial" w:cs="Arial"/>
                <w:noProof/>
              </w:rPr>
              <w:t>3.</w:t>
            </w:r>
            <w:r w:rsidR="003508A6" w:rsidRPr="003508A6">
              <w:rPr>
                <w:rFonts w:ascii="Arial" w:eastAsiaTheme="minorEastAsia" w:hAnsi="Arial" w:cs="Arial"/>
                <w:noProof/>
                <w:lang w:eastAsia="el-GR"/>
              </w:rPr>
              <w:tab/>
            </w:r>
            <w:r w:rsidR="003508A6" w:rsidRPr="003508A6">
              <w:rPr>
                <w:rStyle w:val="-"/>
                <w:rFonts w:ascii="Arial" w:hAnsi="Arial" w:cs="Arial"/>
                <w:noProof/>
              </w:rPr>
              <w:t>Διοικητική διαδικασία παρακολούθησης του προγράμματος</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_Toc498076511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17</w:t>
            </w:r>
            <w:r w:rsidRPr="003508A6">
              <w:rPr>
                <w:rFonts w:ascii="Arial" w:hAnsi="Arial" w:cs="Arial"/>
                <w:noProof/>
                <w:webHidden/>
              </w:rPr>
              <w:fldChar w:fldCharType="end"/>
            </w:r>
          </w:hyperlink>
        </w:p>
        <w:p w:rsidR="003508A6" w:rsidRPr="003508A6" w:rsidRDefault="00FB46F4" w:rsidP="003508A6">
          <w:pPr>
            <w:pStyle w:val="21"/>
            <w:tabs>
              <w:tab w:val="right" w:leader="dot" w:pos="9345"/>
            </w:tabs>
            <w:spacing w:line="360" w:lineRule="auto"/>
            <w:rPr>
              <w:rFonts w:ascii="Arial" w:eastAsiaTheme="minorEastAsia" w:hAnsi="Arial" w:cs="Arial"/>
              <w:noProof/>
              <w:lang w:eastAsia="el-GR"/>
            </w:rPr>
          </w:pPr>
          <w:hyperlink w:anchor="_Toc498076512" w:history="1">
            <w:r w:rsidR="003508A6" w:rsidRPr="003508A6">
              <w:rPr>
                <w:rStyle w:val="-"/>
                <w:rFonts w:ascii="Arial" w:hAnsi="Arial" w:cs="Arial"/>
                <w:noProof/>
              </w:rPr>
              <w:t>3.1 Επιτροπή Αξιολόγησης</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_Toc498076512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17</w:t>
            </w:r>
            <w:r w:rsidRPr="003508A6">
              <w:rPr>
                <w:rFonts w:ascii="Arial" w:hAnsi="Arial" w:cs="Arial"/>
                <w:noProof/>
                <w:webHidden/>
              </w:rPr>
              <w:fldChar w:fldCharType="end"/>
            </w:r>
          </w:hyperlink>
        </w:p>
        <w:p w:rsidR="003508A6" w:rsidRPr="003508A6" w:rsidRDefault="00FB46F4" w:rsidP="003508A6">
          <w:pPr>
            <w:pStyle w:val="21"/>
            <w:tabs>
              <w:tab w:val="right" w:leader="dot" w:pos="9345"/>
            </w:tabs>
            <w:spacing w:line="360" w:lineRule="auto"/>
            <w:rPr>
              <w:rFonts w:ascii="Arial" w:eastAsiaTheme="minorEastAsia" w:hAnsi="Arial" w:cs="Arial"/>
              <w:noProof/>
              <w:lang w:eastAsia="el-GR"/>
            </w:rPr>
          </w:pPr>
          <w:hyperlink w:anchor="_Toc498076513" w:history="1">
            <w:r w:rsidR="003508A6" w:rsidRPr="003508A6">
              <w:rPr>
                <w:rStyle w:val="-"/>
                <w:rFonts w:ascii="Arial" w:hAnsi="Arial" w:cs="Arial"/>
                <w:noProof/>
              </w:rPr>
              <w:t>3.2 Επιτροπή Παρακολούθησης και Παραλαβής</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_Toc498076513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18</w:t>
            </w:r>
            <w:r w:rsidRPr="003508A6">
              <w:rPr>
                <w:rFonts w:ascii="Arial" w:hAnsi="Arial" w:cs="Arial"/>
                <w:noProof/>
                <w:webHidden/>
              </w:rPr>
              <w:fldChar w:fldCharType="end"/>
            </w:r>
          </w:hyperlink>
        </w:p>
        <w:p w:rsidR="003508A6" w:rsidRPr="003508A6" w:rsidRDefault="00FB46F4" w:rsidP="003508A6">
          <w:pPr>
            <w:pStyle w:val="12"/>
            <w:tabs>
              <w:tab w:val="left" w:pos="440"/>
              <w:tab w:val="right" w:leader="dot" w:pos="9345"/>
            </w:tabs>
            <w:spacing w:line="360" w:lineRule="auto"/>
            <w:rPr>
              <w:rFonts w:ascii="Arial" w:eastAsiaTheme="minorEastAsia" w:hAnsi="Arial" w:cs="Arial"/>
              <w:noProof/>
              <w:lang w:eastAsia="el-GR"/>
            </w:rPr>
          </w:pPr>
          <w:hyperlink w:anchor="_Toc498076514" w:history="1">
            <w:r w:rsidR="003508A6" w:rsidRPr="003508A6">
              <w:rPr>
                <w:rStyle w:val="-"/>
                <w:rFonts w:ascii="Arial" w:hAnsi="Arial" w:cs="Arial"/>
                <w:noProof/>
              </w:rPr>
              <w:t>4.</w:t>
            </w:r>
            <w:r w:rsidR="003508A6" w:rsidRPr="003508A6">
              <w:rPr>
                <w:rFonts w:ascii="Arial" w:eastAsiaTheme="minorEastAsia" w:hAnsi="Arial" w:cs="Arial"/>
                <w:noProof/>
                <w:lang w:eastAsia="el-GR"/>
              </w:rPr>
              <w:tab/>
            </w:r>
            <w:r w:rsidR="003508A6" w:rsidRPr="003508A6">
              <w:rPr>
                <w:rStyle w:val="-"/>
                <w:rFonts w:ascii="Arial" w:hAnsi="Arial" w:cs="Arial"/>
                <w:noProof/>
              </w:rPr>
              <w:t>Προβλήματα – αδυναμίες</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_Toc498076514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20</w:t>
            </w:r>
            <w:r w:rsidRPr="003508A6">
              <w:rPr>
                <w:rFonts w:ascii="Arial" w:hAnsi="Arial" w:cs="Arial"/>
                <w:noProof/>
                <w:webHidden/>
              </w:rPr>
              <w:fldChar w:fldCharType="end"/>
            </w:r>
          </w:hyperlink>
        </w:p>
        <w:p w:rsidR="003508A6" w:rsidRPr="003508A6" w:rsidRDefault="00FB46F4" w:rsidP="003508A6">
          <w:pPr>
            <w:pStyle w:val="12"/>
            <w:tabs>
              <w:tab w:val="right" w:leader="dot" w:pos="9345"/>
            </w:tabs>
            <w:spacing w:line="360" w:lineRule="auto"/>
            <w:rPr>
              <w:rFonts w:ascii="Arial" w:eastAsiaTheme="minorEastAsia" w:hAnsi="Arial" w:cs="Arial"/>
              <w:noProof/>
              <w:lang w:eastAsia="el-GR"/>
            </w:rPr>
          </w:pPr>
          <w:hyperlink w:anchor="_Toc498076515" w:history="1">
            <w:r w:rsidR="003508A6" w:rsidRPr="003508A6">
              <w:rPr>
                <w:rStyle w:val="-"/>
                <w:rFonts w:ascii="Arial" w:hAnsi="Arial" w:cs="Arial"/>
                <w:noProof/>
              </w:rPr>
              <w:t>Επίλογος</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_Toc498076515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22</w:t>
            </w:r>
            <w:r w:rsidRPr="003508A6">
              <w:rPr>
                <w:rFonts w:ascii="Arial" w:hAnsi="Arial" w:cs="Arial"/>
                <w:noProof/>
                <w:webHidden/>
              </w:rPr>
              <w:fldChar w:fldCharType="end"/>
            </w:r>
          </w:hyperlink>
        </w:p>
        <w:p w:rsidR="003508A6" w:rsidRPr="003508A6" w:rsidRDefault="00FB46F4" w:rsidP="003508A6">
          <w:pPr>
            <w:pStyle w:val="12"/>
            <w:tabs>
              <w:tab w:val="right" w:leader="dot" w:pos="9345"/>
            </w:tabs>
            <w:spacing w:line="360" w:lineRule="auto"/>
            <w:rPr>
              <w:rFonts w:ascii="Arial" w:eastAsiaTheme="minorEastAsia" w:hAnsi="Arial" w:cs="Arial"/>
              <w:noProof/>
              <w:lang w:eastAsia="el-GR"/>
            </w:rPr>
          </w:pPr>
          <w:hyperlink w:anchor="_Toc498076516" w:history="1">
            <w:r w:rsidR="003508A6" w:rsidRPr="003508A6">
              <w:rPr>
                <w:rStyle w:val="-"/>
                <w:rFonts w:ascii="Arial" w:hAnsi="Arial" w:cs="Arial"/>
                <w:noProof/>
              </w:rPr>
              <w:t>Παράρτημα</w:t>
            </w:r>
            <w:r w:rsidR="003508A6" w:rsidRPr="003508A6">
              <w:rPr>
                <w:rFonts w:ascii="Arial" w:hAnsi="Arial" w:cs="Arial"/>
                <w:noProof/>
                <w:webHidden/>
              </w:rPr>
              <w:tab/>
            </w:r>
            <w:r w:rsidRPr="003508A6">
              <w:rPr>
                <w:rFonts w:ascii="Arial" w:hAnsi="Arial" w:cs="Arial"/>
                <w:noProof/>
                <w:webHidden/>
              </w:rPr>
              <w:fldChar w:fldCharType="begin"/>
            </w:r>
            <w:r w:rsidR="003508A6" w:rsidRPr="003508A6">
              <w:rPr>
                <w:rFonts w:ascii="Arial" w:hAnsi="Arial" w:cs="Arial"/>
                <w:noProof/>
                <w:webHidden/>
              </w:rPr>
              <w:instrText xml:space="preserve"> PAGEREF _Toc498076516 \h </w:instrText>
            </w:r>
            <w:r w:rsidRPr="003508A6">
              <w:rPr>
                <w:rFonts w:ascii="Arial" w:hAnsi="Arial" w:cs="Arial"/>
                <w:noProof/>
                <w:webHidden/>
              </w:rPr>
            </w:r>
            <w:r w:rsidRPr="003508A6">
              <w:rPr>
                <w:rFonts w:ascii="Arial" w:hAnsi="Arial" w:cs="Arial"/>
                <w:noProof/>
                <w:webHidden/>
              </w:rPr>
              <w:fldChar w:fldCharType="separate"/>
            </w:r>
            <w:r w:rsidR="00787796">
              <w:rPr>
                <w:rFonts w:ascii="Arial" w:hAnsi="Arial" w:cs="Arial"/>
                <w:noProof/>
                <w:webHidden/>
              </w:rPr>
              <w:t>24</w:t>
            </w:r>
            <w:r w:rsidRPr="003508A6">
              <w:rPr>
                <w:rFonts w:ascii="Arial" w:hAnsi="Arial" w:cs="Arial"/>
                <w:noProof/>
                <w:webHidden/>
              </w:rPr>
              <w:fldChar w:fldCharType="end"/>
            </w:r>
          </w:hyperlink>
        </w:p>
        <w:p w:rsidR="003508A6" w:rsidRDefault="00FB46F4" w:rsidP="003508A6">
          <w:pPr>
            <w:spacing w:line="360" w:lineRule="auto"/>
          </w:pPr>
          <w:r w:rsidRPr="003508A6">
            <w:rPr>
              <w:rFonts w:ascii="Arial" w:hAnsi="Arial" w:cs="Arial"/>
            </w:rPr>
            <w:fldChar w:fldCharType="end"/>
          </w:r>
        </w:p>
      </w:sdtContent>
    </w:sdt>
    <w:p w:rsidR="00446AF4" w:rsidRDefault="00446AF4">
      <w:pPr>
        <w:rPr>
          <w:rFonts w:ascii="Arial" w:hAnsi="Arial" w:cs="Arial"/>
          <w:sz w:val="24"/>
          <w:szCs w:val="24"/>
        </w:rPr>
      </w:pPr>
    </w:p>
    <w:p w:rsidR="00446AF4" w:rsidRPr="007E49DC" w:rsidRDefault="00446AF4">
      <w:pPr>
        <w:rPr>
          <w:rFonts w:ascii="Arial" w:hAnsi="Arial" w:cs="Arial"/>
          <w:b/>
          <w:sz w:val="24"/>
          <w:szCs w:val="24"/>
        </w:rPr>
      </w:pPr>
      <w:r w:rsidRPr="007E49DC">
        <w:rPr>
          <w:rFonts w:ascii="Arial" w:hAnsi="Arial" w:cs="Arial"/>
          <w:b/>
          <w:sz w:val="24"/>
          <w:szCs w:val="24"/>
        </w:rPr>
        <w:br w:type="page"/>
      </w:r>
    </w:p>
    <w:p w:rsidR="00CB3F42" w:rsidRPr="00283BA9" w:rsidRDefault="00CB3F42" w:rsidP="00CB3F42">
      <w:pPr>
        <w:pStyle w:val="1"/>
        <w:rPr>
          <w:rFonts w:asciiTheme="minorHAnsi" w:hAnsiTheme="minorHAnsi" w:cstheme="minorHAnsi"/>
          <w:color w:val="auto"/>
          <w:sz w:val="24"/>
          <w:szCs w:val="24"/>
        </w:rPr>
      </w:pPr>
      <w:bookmarkStart w:id="0" w:name="_Toc498003142"/>
      <w:bookmarkStart w:id="1" w:name="_Toc498075039"/>
      <w:bookmarkStart w:id="2" w:name="_Toc498076222"/>
      <w:bookmarkStart w:id="3" w:name="_Toc498076436"/>
      <w:bookmarkStart w:id="4" w:name="_Toc498076504"/>
      <w:r w:rsidRPr="00283BA9">
        <w:rPr>
          <w:rFonts w:asciiTheme="minorHAnsi" w:hAnsiTheme="minorHAnsi" w:cstheme="minorHAnsi"/>
          <w:color w:val="auto"/>
          <w:sz w:val="24"/>
          <w:szCs w:val="24"/>
        </w:rPr>
        <w:t>Σύνοψη</w:t>
      </w:r>
      <w:bookmarkEnd w:id="0"/>
      <w:bookmarkEnd w:id="1"/>
      <w:bookmarkEnd w:id="2"/>
      <w:bookmarkEnd w:id="3"/>
      <w:bookmarkEnd w:id="4"/>
    </w:p>
    <w:p w:rsidR="005D6052" w:rsidRDefault="005D6052" w:rsidP="00C436A6">
      <w:pPr>
        <w:widowControl w:val="0"/>
        <w:spacing w:after="0"/>
        <w:ind w:firstLine="357"/>
        <w:jc w:val="both"/>
        <w:rPr>
          <w:rFonts w:cstheme="minorHAnsi"/>
        </w:rPr>
      </w:pPr>
    </w:p>
    <w:p w:rsidR="007E49DC" w:rsidRPr="00C436A6" w:rsidRDefault="007E49DC" w:rsidP="00AF7BF1">
      <w:pPr>
        <w:widowControl w:val="0"/>
        <w:spacing w:after="0" w:line="320" w:lineRule="atLeast"/>
        <w:ind w:firstLine="357"/>
        <w:jc w:val="both"/>
        <w:rPr>
          <w:rFonts w:cstheme="minorHAnsi"/>
        </w:rPr>
      </w:pPr>
      <w:r w:rsidRPr="00B97F9F">
        <w:rPr>
          <w:rFonts w:cstheme="minorHAnsi"/>
          <w:highlight w:val="cyan"/>
        </w:rPr>
        <w:t xml:space="preserve">Με στόχο τη βελτίωση και ενθάρρυνση της εξωστρεφούς επιχειρηματικότητας, ειδικότερα των </w:t>
      </w:r>
      <w:proofErr w:type="spellStart"/>
      <w:r w:rsidRPr="00B97F9F">
        <w:rPr>
          <w:rFonts w:cstheme="minorHAnsi"/>
          <w:highlight w:val="cyan"/>
        </w:rPr>
        <w:t>Μ</w:t>
      </w:r>
      <w:r w:rsidR="005D6052" w:rsidRPr="00B97F9F">
        <w:rPr>
          <w:rFonts w:cstheme="minorHAnsi"/>
          <w:highlight w:val="cyan"/>
        </w:rPr>
        <w:t>μ</w:t>
      </w:r>
      <w:r w:rsidRPr="00B97F9F">
        <w:rPr>
          <w:rFonts w:cstheme="minorHAnsi"/>
          <w:highlight w:val="cyan"/>
        </w:rPr>
        <w:t>Ε</w:t>
      </w:r>
      <w:proofErr w:type="spellEnd"/>
      <w:r w:rsidRPr="00B97F9F">
        <w:rPr>
          <w:rFonts w:cstheme="minorHAnsi"/>
          <w:highlight w:val="cyan"/>
        </w:rPr>
        <w:t xml:space="preserve"> επιχειρήσεων, αλλά και των μεγάλων επιχειρήσεων υπό ειδικές προϋποθέσεις, σχεδιάστηκε </w:t>
      </w:r>
      <w:r w:rsidR="00800CD7" w:rsidRPr="00B97F9F">
        <w:rPr>
          <w:rFonts w:cstheme="minorHAnsi"/>
          <w:highlight w:val="cyan"/>
        </w:rPr>
        <w:t xml:space="preserve">το 2011 </w:t>
      </w:r>
      <w:r w:rsidR="002B7DE8" w:rsidRPr="00B97F9F">
        <w:rPr>
          <w:rFonts w:cstheme="minorHAnsi"/>
          <w:highlight w:val="cyan"/>
        </w:rPr>
        <w:t xml:space="preserve">από τη </w:t>
      </w:r>
      <w:r w:rsidR="002B7DE8" w:rsidRPr="002B7DE8">
        <w:rPr>
          <w:rFonts w:cstheme="minorHAnsi"/>
          <w:highlight w:val="cyan"/>
        </w:rPr>
        <w:t xml:space="preserve">Διεύθυνση Στήριξης Μικρομεσαίων </w:t>
      </w:r>
      <w:proofErr w:type="spellStart"/>
      <w:r w:rsidR="002B7DE8" w:rsidRPr="002B7DE8">
        <w:rPr>
          <w:rFonts w:cstheme="minorHAnsi"/>
          <w:highlight w:val="cyan"/>
        </w:rPr>
        <w:t>Επιχεςιρήσεων</w:t>
      </w:r>
      <w:proofErr w:type="spellEnd"/>
      <w:r w:rsidR="002B7DE8" w:rsidRPr="002B7DE8">
        <w:rPr>
          <w:rFonts w:cstheme="minorHAnsi"/>
          <w:highlight w:val="cyan"/>
        </w:rPr>
        <w:t xml:space="preserve"> (</w:t>
      </w:r>
      <w:proofErr w:type="spellStart"/>
      <w:r w:rsidR="002B7DE8" w:rsidRPr="002B7DE8">
        <w:rPr>
          <w:rFonts w:cstheme="minorHAnsi"/>
          <w:highlight w:val="cyan"/>
        </w:rPr>
        <w:t>ΔΣΜμΕ</w:t>
      </w:r>
      <w:proofErr w:type="spellEnd"/>
      <w:r w:rsidR="002B7DE8" w:rsidRPr="002B7DE8">
        <w:rPr>
          <w:rFonts w:cstheme="minorHAnsi"/>
          <w:highlight w:val="cyan"/>
        </w:rPr>
        <w:t>) της Γενικής Γραμματείας Βιομηχανίας (Γ.Γ.Β)</w:t>
      </w:r>
      <w:r w:rsidR="002B7DE8" w:rsidRPr="002B7DE8">
        <w:rPr>
          <w:highlight w:val="cyan"/>
        </w:rPr>
        <w:t xml:space="preserve"> </w:t>
      </w:r>
      <w:r w:rsidRPr="002B7DE8">
        <w:rPr>
          <w:rFonts w:cstheme="minorHAnsi"/>
          <w:highlight w:val="cyan"/>
        </w:rPr>
        <w:t xml:space="preserve">το πρόγραμμα </w:t>
      </w:r>
      <w:r w:rsidRPr="00B97F9F">
        <w:rPr>
          <w:rFonts w:cstheme="minorHAnsi"/>
          <w:highlight w:val="cyan"/>
        </w:rPr>
        <w:t>«</w:t>
      </w:r>
      <w:r w:rsidRPr="00B97F9F">
        <w:rPr>
          <w:rFonts w:cstheme="minorHAnsi"/>
          <w:b/>
          <w:highlight w:val="cyan"/>
        </w:rPr>
        <w:t xml:space="preserve">Εξωστρέφεια – Ανταγωνιστικότητα των </w:t>
      </w:r>
      <w:r w:rsidRPr="001C5A16">
        <w:rPr>
          <w:rFonts w:cstheme="minorHAnsi"/>
          <w:b/>
          <w:highlight w:val="cyan"/>
        </w:rPr>
        <w:t>Επιχειρήσεων</w:t>
      </w:r>
      <w:r w:rsidRPr="001C5A16">
        <w:rPr>
          <w:rFonts w:cstheme="minorHAnsi"/>
          <w:highlight w:val="cyan"/>
        </w:rPr>
        <w:t>»</w:t>
      </w:r>
      <w:r w:rsidR="001368CB" w:rsidRPr="001C5A16">
        <w:rPr>
          <w:rFonts w:cstheme="minorHAnsi"/>
          <w:highlight w:val="cyan"/>
        </w:rPr>
        <w:t xml:space="preserve"> (Ι)</w:t>
      </w:r>
      <w:r w:rsidRPr="001C5A16">
        <w:rPr>
          <w:rFonts w:cstheme="minorHAnsi"/>
          <w:highlight w:val="cyan"/>
        </w:rPr>
        <w:t xml:space="preserve">, στο πλαίσιο του Επιχειρησιακού Προγράμματος </w:t>
      </w:r>
      <w:r w:rsidR="001C5A16" w:rsidRPr="001C5A16">
        <w:rPr>
          <w:rFonts w:cstheme="minorHAnsi"/>
          <w:highlight w:val="cyan"/>
        </w:rPr>
        <w:t>«</w:t>
      </w:r>
      <w:r w:rsidRPr="001C5A16">
        <w:rPr>
          <w:rFonts w:cstheme="minorHAnsi"/>
          <w:highlight w:val="cyan"/>
        </w:rPr>
        <w:t>Ανταγωνιστικότητα και Επιχειρηματικότητα</w:t>
      </w:r>
      <w:r w:rsidR="001C5A16" w:rsidRPr="001C5A16">
        <w:rPr>
          <w:rFonts w:cstheme="minorHAnsi"/>
          <w:highlight w:val="cyan"/>
        </w:rPr>
        <w:t>»</w:t>
      </w:r>
      <w:r w:rsidRPr="001C5A16">
        <w:rPr>
          <w:rFonts w:cstheme="minorHAnsi"/>
          <w:highlight w:val="cyan"/>
        </w:rPr>
        <w:t xml:space="preserve"> </w:t>
      </w:r>
      <w:r w:rsidR="001C5A16" w:rsidRPr="001C5A16">
        <w:rPr>
          <w:highlight w:val="cyan"/>
        </w:rPr>
        <w:t xml:space="preserve">του ΕΠΑΕ (ΕΠΑΝ ΙΙ) </w:t>
      </w:r>
      <w:r w:rsidRPr="001C5A16">
        <w:rPr>
          <w:rFonts w:cstheme="minorHAnsi"/>
          <w:highlight w:val="cyan"/>
        </w:rPr>
        <w:t xml:space="preserve">του ΕΣΠΑ 2007-2013 από την Γεν. Γραμματεία Βιομηχανίας για την ενίσχυση της εξωστρεφούς επιχειρηματικότητας ως βασικής επιλογής για την αναβάθμιση της παραγωγικής βάσης της χώρας </w:t>
      </w:r>
      <w:r w:rsidRPr="00B97F9F">
        <w:rPr>
          <w:rFonts w:cstheme="minorHAnsi"/>
          <w:highlight w:val="cyan"/>
        </w:rPr>
        <w:t xml:space="preserve">προς αγαθά και υπηρεσίες υψηλής προστιθέμενης αξίας. </w:t>
      </w:r>
      <w:r w:rsidR="00C436A6" w:rsidRPr="00B97F9F">
        <w:rPr>
          <w:rStyle w:val="hps"/>
          <w:rFonts w:eastAsia="Calibri" w:cstheme="minorHAnsi"/>
          <w:highlight w:val="cyan"/>
        </w:rPr>
        <w:t>Το</w:t>
      </w:r>
      <w:r w:rsidR="00C436A6" w:rsidRPr="00B97F9F">
        <w:rPr>
          <w:rFonts w:eastAsia="Calibri" w:cstheme="minorHAnsi"/>
          <w:highlight w:val="cyan"/>
        </w:rPr>
        <w:t xml:space="preserve"> </w:t>
      </w:r>
      <w:r w:rsidR="00C436A6" w:rsidRPr="00B97F9F">
        <w:rPr>
          <w:rStyle w:val="hps"/>
          <w:rFonts w:eastAsia="Calibri" w:cstheme="minorHAnsi"/>
          <w:highlight w:val="cyan"/>
        </w:rPr>
        <w:t>πρόγραμμα αυτό σχεδιάστηκε σε</w:t>
      </w:r>
      <w:r w:rsidR="00C436A6" w:rsidRPr="00B97F9F">
        <w:rPr>
          <w:rFonts w:eastAsia="Calibri" w:cstheme="minorHAnsi"/>
          <w:highlight w:val="cyan"/>
        </w:rPr>
        <w:t xml:space="preserve"> </w:t>
      </w:r>
      <w:r w:rsidR="00C436A6" w:rsidRPr="00B97F9F">
        <w:rPr>
          <w:rStyle w:val="hps"/>
          <w:rFonts w:eastAsia="Calibri" w:cstheme="minorHAnsi"/>
          <w:highlight w:val="cyan"/>
        </w:rPr>
        <w:t>ευθυγράμμιση με τη στρατηγική</w:t>
      </w:r>
      <w:r w:rsidR="00C436A6" w:rsidRPr="00B97F9F">
        <w:rPr>
          <w:rFonts w:eastAsia="Calibri" w:cstheme="minorHAnsi"/>
          <w:highlight w:val="cyan"/>
        </w:rPr>
        <w:t xml:space="preserve"> </w:t>
      </w:r>
      <w:r w:rsidR="00C436A6" w:rsidRPr="00B97F9F">
        <w:rPr>
          <w:rStyle w:val="hps"/>
          <w:rFonts w:eastAsia="Calibri" w:cstheme="minorHAnsi"/>
          <w:highlight w:val="cyan"/>
        </w:rPr>
        <w:t>της Λισαβόνας και την</w:t>
      </w:r>
      <w:r w:rsidR="00C436A6" w:rsidRPr="00B97F9F">
        <w:rPr>
          <w:rFonts w:eastAsia="Calibri" w:cstheme="minorHAnsi"/>
          <w:highlight w:val="cyan"/>
        </w:rPr>
        <w:t xml:space="preserve"> </w:t>
      </w:r>
      <w:r w:rsidR="00C436A6" w:rsidRPr="00B97F9F">
        <w:rPr>
          <w:rStyle w:val="hps"/>
          <w:rFonts w:eastAsia="Calibri" w:cstheme="minorHAnsi"/>
          <w:highlight w:val="cyan"/>
        </w:rPr>
        <w:t>Πράξη για τις Μικρές</w:t>
      </w:r>
      <w:r w:rsidR="00C436A6" w:rsidRPr="00B97F9F">
        <w:rPr>
          <w:rFonts w:eastAsia="Calibri" w:cstheme="minorHAnsi"/>
          <w:highlight w:val="cyan"/>
        </w:rPr>
        <w:t xml:space="preserve"> </w:t>
      </w:r>
      <w:r w:rsidR="00C436A6" w:rsidRPr="00B97F9F">
        <w:rPr>
          <w:rStyle w:val="hps"/>
          <w:rFonts w:eastAsia="Calibri" w:cstheme="minorHAnsi"/>
          <w:highlight w:val="cyan"/>
        </w:rPr>
        <w:t>Επιχειρήσεις</w:t>
      </w:r>
      <w:r w:rsidR="00C436A6" w:rsidRPr="00B97F9F">
        <w:rPr>
          <w:rFonts w:eastAsia="Calibri" w:cstheme="minorHAnsi"/>
          <w:highlight w:val="cyan"/>
        </w:rPr>
        <w:t xml:space="preserve">. Στο εν λόγω πρόγραμμα εισήχθηκε για πρώτη φορά η δυνατότητα αξιολόγησης και ένταξης επιχειρήσεων που συμμετέχουν σε συνεργατικό σχήμα </w:t>
      </w:r>
      <w:r w:rsidR="00C436A6" w:rsidRPr="00B97F9F">
        <w:rPr>
          <w:rFonts w:ascii="Calibri" w:eastAsia="Calibri" w:hAnsi="Calibri" w:cs="Times New Roman"/>
          <w:highlight w:val="cyan"/>
        </w:rPr>
        <w:t>σχεδίων που συμμετείχαν σε συνεργατικό σχήμα.</w:t>
      </w:r>
      <w:r w:rsidR="00891E2C">
        <w:rPr>
          <w:rFonts w:ascii="Calibri" w:eastAsia="Calibri" w:hAnsi="Calibri" w:cs="Times New Roman"/>
          <w:highlight w:val="cyan"/>
        </w:rPr>
        <w:t xml:space="preserve"> </w:t>
      </w:r>
      <w:r w:rsidR="00C436A6" w:rsidRPr="00B97F9F">
        <w:rPr>
          <w:rFonts w:ascii="Calibri" w:eastAsia="Calibri" w:hAnsi="Calibri" w:cs="Times New Roman"/>
          <w:highlight w:val="cyan"/>
        </w:rPr>
        <w:t>Η α</w:t>
      </w:r>
      <w:r w:rsidR="00C436A6" w:rsidRPr="00C436A6">
        <w:rPr>
          <w:rFonts w:ascii="Calibri" w:eastAsia="Calibri" w:hAnsi="Calibri" w:cs="Times New Roman"/>
          <w:highlight w:val="cyan"/>
        </w:rPr>
        <w:t>νάλυση των χαρακτηριστικών των συνεργατικών σχημάτων που συνάπτουν οι επιχειρήσεις έχει ως σκοπό να εξάγει χρήσιμα συμπεράσματα για την ποιότητα των υποβληθέντων προτάσεων και των μορφών συνεργασίας που επιλέγουν οι επιχειρήσεις</w:t>
      </w:r>
      <w:r w:rsidR="00C436A6" w:rsidRPr="00C436A6">
        <w:rPr>
          <w:rFonts w:eastAsia="Calibri" w:cstheme="minorHAnsi"/>
        </w:rPr>
        <w:t>.</w:t>
      </w:r>
    </w:p>
    <w:p w:rsidR="009E75EE" w:rsidRDefault="007E49DC" w:rsidP="009E75EE">
      <w:pPr>
        <w:widowControl w:val="0"/>
        <w:spacing w:after="0" w:line="320" w:lineRule="atLeast"/>
        <w:ind w:firstLine="360"/>
        <w:jc w:val="both"/>
        <w:rPr>
          <w:rFonts w:cstheme="minorHAnsi"/>
          <w:highlight w:val="cyan"/>
        </w:rPr>
      </w:pPr>
      <w:r w:rsidRPr="00B97F9F">
        <w:rPr>
          <w:rFonts w:cstheme="minorHAnsi"/>
          <w:highlight w:val="cyan"/>
        </w:rPr>
        <w:t xml:space="preserve">Ο αρχικός σχεδιασμός του προγράμματος προέβλεπε συνολική Δημόσια Δαπάνη ύψους 30.000.000,0€. Το πρόγραμμα σημείωσε ιδιαίτερη επιτυχία καθώς υπεβλήθησαν 828 </w:t>
      </w:r>
      <w:r w:rsidRPr="00B01BFC">
        <w:rPr>
          <w:rFonts w:cstheme="minorHAnsi"/>
          <w:highlight w:val="green"/>
        </w:rPr>
        <w:t>προτάσεις με συνολικό ύψος προϋπολογισμού (Δημόσια Δαπάνη) ανερχόμενο στα 58.132.609,41 ευρώ</w:t>
      </w:r>
      <w:r w:rsidRPr="00B97F9F">
        <w:rPr>
          <w:rFonts w:cstheme="minorHAnsi"/>
          <w:highlight w:val="cyan"/>
        </w:rPr>
        <w:t>. Σε άμεση ανταπόκριση του ενδιαφέροντος αυτού αυξήθηκε ο συνολικός προϋπολογισμός (Δημόσια Δαπάνη) στα 45.000.000,00€. Μετά την ολοκλήρωση της διαδικασίας αξιολόγησης εντάχθηκαν 746 συνολικού προϋπολογισμού 98.127.008,38 ευρώ με συνολική δημόσια δαπάνη 44.843.925,14 ευρώ.</w:t>
      </w:r>
    </w:p>
    <w:p w:rsidR="009E75EE" w:rsidRDefault="00C436A6" w:rsidP="009E75EE">
      <w:pPr>
        <w:widowControl w:val="0"/>
        <w:spacing w:after="0" w:line="320" w:lineRule="atLeast"/>
        <w:ind w:firstLine="360"/>
        <w:jc w:val="both"/>
        <w:rPr>
          <w:rFonts w:cstheme="minorHAnsi"/>
        </w:rPr>
      </w:pPr>
      <w:r w:rsidRPr="00B97F9F">
        <w:rPr>
          <w:rFonts w:cstheme="minorHAnsi"/>
          <w:highlight w:val="cyan"/>
        </w:rPr>
        <w:t xml:space="preserve">Στο πλαίσιο του προγράμματος «Εξωστρέφεια – Ανταγωνιστικότητα των επιχειρήσεων» υλοποιήθηκαν </w:t>
      </w:r>
      <w:r w:rsidRPr="00246E05">
        <w:rPr>
          <w:rFonts w:cstheme="minorHAnsi"/>
          <w:highlight w:val="cyan"/>
        </w:rPr>
        <w:t xml:space="preserve">επιτυχώς </w:t>
      </w:r>
      <w:r w:rsidR="00246E05" w:rsidRPr="00246E05">
        <w:rPr>
          <w:bCs/>
          <w:highlight w:val="cyan"/>
        </w:rPr>
        <w:t xml:space="preserve">486 </w:t>
      </w:r>
      <w:r w:rsidRPr="00246E05">
        <w:rPr>
          <w:rFonts w:cstheme="minorHAnsi"/>
          <w:highlight w:val="cyan"/>
        </w:rPr>
        <w:t xml:space="preserve">ολοκληρωμένα επενδυτικά σχέδια με Π/Υ κατ’ ελάχιστο </w:t>
      </w:r>
      <w:r w:rsidR="00915115" w:rsidRPr="00246E05">
        <w:rPr>
          <w:rFonts w:cstheme="minorHAnsi"/>
          <w:highlight w:val="cyan"/>
        </w:rPr>
        <w:t>30</w:t>
      </w:r>
      <w:r w:rsidRPr="00246E05">
        <w:rPr>
          <w:rFonts w:cstheme="minorHAnsi"/>
          <w:highlight w:val="cyan"/>
        </w:rPr>
        <w:t>.000</w:t>
      </w:r>
      <w:r w:rsidR="00432494">
        <w:rPr>
          <w:rFonts w:cstheme="minorHAnsi"/>
          <w:highlight w:val="cyan"/>
        </w:rPr>
        <w:t>,00</w:t>
      </w:r>
      <w:r w:rsidRPr="00246E05">
        <w:rPr>
          <w:rFonts w:cstheme="minorHAnsi"/>
          <w:highlight w:val="cyan"/>
        </w:rPr>
        <w:t xml:space="preserve"> ευρώ και κατά μέγιστο </w:t>
      </w:r>
      <w:r w:rsidRPr="00B97F9F">
        <w:rPr>
          <w:rFonts w:cstheme="minorHAnsi"/>
          <w:highlight w:val="cyan"/>
        </w:rPr>
        <w:t>2</w:t>
      </w:r>
      <w:r w:rsidR="00432494">
        <w:rPr>
          <w:rFonts w:cstheme="minorHAnsi"/>
          <w:highlight w:val="cyan"/>
        </w:rPr>
        <w:t>5</w:t>
      </w:r>
      <w:r w:rsidRPr="00B97F9F">
        <w:rPr>
          <w:rFonts w:cstheme="minorHAnsi"/>
          <w:highlight w:val="cyan"/>
        </w:rPr>
        <w:t>0.000</w:t>
      </w:r>
      <w:r w:rsidR="00432494">
        <w:rPr>
          <w:rFonts w:cstheme="minorHAnsi"/>
          <w:highlight w:val="cyan"/>
        </w:rPr>
        <w:t>,00</w:t>
      </w:r>
      <w:r w:rsidRPr="00B97F9F">
        <w:rPr>
          <w:rFonts w:cstheme="minorHAnsi"/>
          <w:highlight w:val="cyan"/>
        </w:rPr>
        <w:t xml:space="preserve"> ευρώ.</w:t>
      </w:r>
      <w:r w:rsidRPr="00B97F9F">
        <w:rPr>
          <w:rFonts w:cstheme="minorHAnsi"/>
        </w:rPr>
        <w:t xml:space="preserve"> </w:t>
      </w:r>
    </w:p>
    <w:p w:rsidR="00CB3F42" w:rsidRPr="00D01FF6" w:rsidRDefault="00CB3F42" w:rsidP="009E75EE">
      <w:pPr>
        <w:widowControl w:val="0"/>
        <w:spacing w:after="0" w:line="320" w:lineRule="atLeast"/>
        <w:ind w:firstLine="360"/>
        <w:jc w:val="both"/>
        <w:rPr>
          <w:rFonts w:cstheme="minorHAnsi"/>
        </w:rPr>
      </w:pPr>
      <w:r w:rsidRPr="009E75EE">
        <w:rPr>
          <w:rFonts w:cstheme="minorHAnsi"/>
          <w:highlight w:val="cyan"/>
        </w:rPr>
        <w:t xml:space="preserve">Τα </w:t>
      </w:r>
      <w:r w:rsidR="00490536" w:rsidRPr="00490536">
        <w:rPr>
          <w:rFonts w:cstheme="minorHAnsi"/>
          <w:highlight w:val="cyan"/>
        </w:rPr>
        <w:t xml:space="preserve">486 </w:t>
      </w:r>
      <w:r w:rsidRPr="009E75EE">
        <w:rPr>
          <w:rFonts w:cstheme="minorHAnsi"/>
          <w:highlight w:val="cyan"/>
        </w:rPr>
        <w:t xml:space="preserve">επενδυτικά σχέδια που ολοκληρώθηκαν επιτυχώς ήταν </w:t>
      </w:r>
      <w:proofErr w:type="spellStart"/>
      <w:r w:rsidRPr="009E75EE">
        <w:rPr>
          <w:rFonts w:cstheme="minorHAnsi"/>
          <w:highlight w:val="cyan"/>
        </w:rPr>
        <w:t>στοχευμένα</w:t>
      </w:r>
      <w:proofErr w:type="spellEnd"/>
      <w:r w:rsidRPr="009E75EE">
        <w:rPr>
          <w:rFonts w:cstheme="minorHAnsi"/>
          <w:highlight w:val="cyan"/>
        </w:rPr>
        <w:t xml:space="preserve"> σε δράσεις βελτίωσης της εξωστρέφειας των </w:t>
      </w:r>
      <w:r w:rsidR="00490536">
        <w:rPr>
          <w:rFonts w:cstheme="minorHAnsi"/>
          <w:highlight w:val="cyan"/>
        </w:rPr>
        <w:t xml:space="preserve">ενταγμένων </w:t>
      </w:r>
      <w:r w:rsidRPr="00490536">
        <w:rPr>
          <w:rFonts w:cstheme="minorHAnsi"/>
          <w:highlight w:val="cyan"/>
        </w:rPr>
        <w:t>επιχειρήσεων (μικρομεσαίων</w:t>
      </w:r>
      <w:r w:rsidR="00490536" w:rsidRPr="00490536">
        <w:rPr>
          <w:rFonts w:cstheme="minorHAnsi"/>
          <w:highlight w:val="cyan"/>
        </w:rPr>
        <w:t>,</w:t>
      </w:r>
      <w:r w:rsidRPr="00490536">
        <w:rPr>
          <w:rFonts w:cstheme="minorHAnsi"/>
          <w:highlight w:val="cyan"/>
        </w:rPr>
        <w:t xml:space="preserve"> μεγάλων</w:t>
      </w:r>
      <w:r w:rsidR="00490536" w:rsidRPr="00490536">
        <w:rPr>
          <w:rFonts w:cstheme="minorHAnsi"/>
          <w:highlight w:val="cyan"/>
        </w:rPr>
        <w:t xml:space="preserve"> και παροχής υπηρεσιών </w:t>
      </w:r>
      <w:r w:rsidR="00915115" w:rsidRPr="00490536">
        <w:rPr>
          <w:rFonts w:cstheme="minorHAnsi"/>
          <w:highlight w:val="cyan"/>
        </w:rPr>
        <w:t xml:space="preserve"> που συμμετείχαν σε συνεργατικό σχήμα</w:t>
      </w:r>
      <w:r w:rsidRPr="00490536">
        <w:rPr>
          <w:rFonts w:cstheme="minorHAnsi"/>
          <w:highlight w:val="cyan"/>
        </w:rPr>
        <w:t xml:space="preserve">) με μέσο όρο </w:t>
      </w:r>
      <w:r w:rsidRPr="005E19BB">
        <w:rPr>
          <w:rFonts w:cstheme="minorHAnsi"/>
          <w:highlight w:val="cyan"/>
        </w:rPr>
        <w:t xml:space="preserve">(χωρίς κλαδική </w:t>
      </w:r>
      <w:r w:rsidRPr="00490536">
        <w:rPr>
          <w:rFonts w:cstheme="minorHAnsi"/>
          <w:highlight w:val="cyan"/>
        </w:rPr>
        <w:t>ανάλυση)</w:t>
      </w:r>
      <w:r w:rsidR="00490536" w:rsidRPr="00490536">
        <w:rPr>
          <w:rFonts w:cstheme="minorHAnsi"/>
          <w:highlight w:val="cyan"/>
        </w:rPr>
        <w:t xml:space="preserve"> συνολικά</w:t>
      </w:r>
      <w:r w:rsidRPr="00490536">
        <w:rPr>
          <w:rFonts w:cstheme="minorHAnsi"/>
          <w:highlight w:val="cyan"/>
        </w:rPr>
        <w:t xml:space="preserve"> εγκεκριμένου Π/Υ </w:t>
      </w:r>
      <w:r w:rsidR="00490536" w:rsidRPr="00490536">
        <w:rPr>
          <w:rFonts w:cstheme="minorHAnsi"/>
          <w:highlight w:val="cyan"/>
        </w:rPr>
        <w:t>113.729,26</w:t>
      </w:r>
      <w:r w:rsidRPr="00490536">
        <w:rPr>
          <w:rFonts w:cstheme="minorHAnsi"/>
          <w:highlight w:val="cyan"/>
        </w:rPr>
        <w:t xml:space="preserve"> ευρώ, μέσο όρο επιχορηγούμενου Π/Υ </w:t>
      </w:r>
      <w:r w:rsidR="00490536" w:rsidRPr="00490536">
        <w:rPr>
          <w:rFonts w:cstheme="minorHAnsi"/>
          <w:highlight w:val="cyan"/>
        </w:rPr>
        <w:t xml:space="preserve">111.218,75 </w:t>
      </w:r>
      <w:r w:rsidRPr="00490536">
        <w:rPr>
          <w:rFonts w:cstheme="minorHAnsi"/>
          <w:highlight w:val="cyan"/>
        </w:rPr>
        <w:t xml:space="preserve">ευρώ και μέσο όρο καταβληθείσας δημόσιας δαπάνης </w:t>
      </w:r>
      <w:r w:rsidR="00490536" w:rsidRPr="00490536">
        <w:rPr>
          <w:rFonts w:cstheme="minorHAnsi"/>
          <w:highlight w:val="cyan"/>
        </w:rPr>
        <w:t>50.516,72</w:t>
      </w:r>
      <w:r w:rsidRPr="00490536">
        <w:rPr>
          <w:rFonts w:cstheme="minorHAnsi"/>
          <w:highlight w:val="cyan"/>
        </w:rPr>
        <w:t xml:space="preserve"> ευρώ.</w:t>
      </w:r>
    </w:p>
    <w:p w:rsidR="00CB3F42" w:rsidRPr="00D01FF6" w:rsidRDefault="009E75EE" w:rsidP="009E75EE">
      <w:pPr>
        <w:spacing w:after="0" w:line="320" w:lineRule="atLeast"/>
        <w:jc w:val="both"/>
        <w:rPr>
          <w:rFonts w:cstheme="minorHAnsi"/>
        </w:rPr>
      </w:pPr>
      <w:r w:rsidRPr="009E75EE">
        <w:rPr>
          <w:rFonts w:cstheme="minorHAnsi"/>
          <w:strike/>
          <w:highlight w:val="red"/>
        </w:rPr>
        <w:t>299</w:t>
      </w:r>
      <w:r w:rsidRPr="009E75EE">
        <w:rPr>
          <w:rFonts w:cstheme="minorHAnsi"/>
          <w:highlight w:val="red"/>
        </w:rPr>
        <w:t xml:space="preserve"> </w:t>
      </w:r>
      <w:r w:rsidRPr="009E75EE">
        <w:rPr>
          <w:rFonts w:cstheme="minorHAnsi"/>
          <w:highlight w:val="cyan"/>
        </w:rPr>
        <w:t xml:space="preserve">από τα </w:t>
      </w:r>
      <w:r w:rsidRPr="005E19BB">
        <w:rPr>
          <w:rFonts w:cstheme="minorHAnsi"/>
          <w:b/>
          <w:highlight w:val="cyan"/>
        </w:rPr>
        <w:t>486</w:t>
      </w:r>
      <w:r w:rsidR="00CB3F42" w:rsidRPr="005E19BB">
        <w:rPr>
          <w:rFonts w:cstheme="minorHAnsi"/>
          <w:b/>
          <w:highlight w:val="cyan"/>
        </w:rPr>
        <w:t xml:space="preserve"> </w:t>
      </w:r>
      <w:r w:rsidR="00CB3F42" w:rsidRPr="009E75EE">
        <w:rPr>
          <w:rFonts w:cstheme="minorHAnsi"/>
          <w:highlight w:val="cyan"/>
        </w:rPr>
        <w:t>συνολικά ολοκληρωμένα επενδυτικά έργα</w:t>
      </w:r>
      <w:r w:rsidR="00CB3F42" w:rsidRPr="00D01FF6">
        <w:rPr>
          <w:rFonts w:cstheme="minorHAnsi"/>
        </w:rPr>
        <w:t xml:space="preserve"> (</w:t>
      </w:r>
      <w:r w:rsidR="00CB3F42" w:rsidRPr="005E19BB">
        <w:rPr>
          <w:rFonts w:cstheme="minorHAnsi"/>
          <w:strike/>
          <w:highlight w:val="red"/>
        </w:rPr>
        <w:t>ποσοστό 61,4%</w:t>
      </w:r>
      <w:r w:rsidR="00CB3F42" w:rsidRPr="005E19BB">
        <w:rPr>
          <w:rFonts w:cstheme="minorHAnsi"/>
          <w:strike/>
        </w:rPr>
        <w:t>)</w:t>
      </w:r>
      <w:r w:rsidR="00CB3F42" w:rsidRPr="00D01FF6">
        <w:rPr>
          <w:rFonts w:cstheme="minorHAnsi"/>
        </w:rPr>
        <w:t xml:space="preserve"> </w:t>
      </w:r>
      <w:r w:rsidR="00CB3F42" w:rsidRPr="009E75EE">
        <w:rPr>
          <w:rFonts w:cstheme="minorHAnsi"/>
          <w:highlight w:val="cyan"/>
        </w:rPr>
        <w:t xml:space="preserve">ανήκουν στη </w:t>
      </w:r>
      <w:r w:rsidR="00CB3F42" w:rsidRPr="009E75EE">
        <w:rPr>
          <w:rFonts w:cstheme="minorHAnsi"/>
          <w:b/>
          <w:highlight w:val="cyan"/>
        </w:rPr>
        <w:t>μεταποίηση</w:t>
      </w:r>
      <w:r w:rsidR="00CB3F42" w:rsidRPr="009E75EE">
        <w:rPr>
          <w:rFonts w:cstheme="minorHAnsi"/>
          <w:highlight w:val="cyan"/>
        </w:rPr>
        <w:t>, η οποία κατέχει το μεγαλύτερο μερίδιο σε όρους Π/Υ και δημόσιας δαπάνης του προγράμματος.</w:t>
      </w:r>
      <w:r w:rsidR="00CB3F42" w:rsidRPr="00D01FF6">
        <w:rPr>
          <w:rFonts w:cstheme="minorHAnsi"/>
        </w:rPr>
        <w:t xml:space="preserve"> </w:t>
      </w:r>
    </w:p>
    <w:p w:rsidR="00CB3F42" w:rsidRPr="00D01FF6" w:rsidRDefault="00CB3F42" w:rsidP="009E75EE">
      <w:pPr>
        <w:spacing w:after="0" w:line="320" w:lineRule="atLeast"/>
        <w:jc w:val="both"/>
        <w:rPr>
          <w:rFonts w:cstheme="minorHAnsi"/>
        </w:rPr>
      </w:pPr>
      <w:r w:rsidRPr="009E75EE">
        <w:rPr>
          <w:rFonts w:cstheme="minorHAnsi"/>
          <w:highlight w:val="cyan"/>
        </w:rPr>
        <w:t>Ο μέσος όρος εγκεκριμένου Π/Υ των ολοκληρωμένων έργων της μεταποίησης ανέρχεται στο ποσό των</w:t>
      </w:r>
      <w:r w:rsidRPr="00D01FF6">
        <w:rPr>
          <w:rFonts w:cstheme="minorHAnsi"/>
        </w:rPr>
        <w:t xml:space="preserve"> </w:t>
      </w:r>
      <w:r w:rsidRPr="009E75EE">
        <w:rPr>
          <w:rFonts w:cstheme="minorHAnsi"/>
          <w:strike/>
          <w:highlight w:val="red"/>
        </w:rPr>
        <w:t>101.418,44</w:t>
      </w:r>
      <w:r w:rsidRPr="00D01FF6">
        <w:rPr>
          <w:rFonts w:cstheme="minorHAnsi"/>
        </w:rPr>
        <w:t xml:space="preserve"> ευρώ, </w:t>
      </w:r>
      <w:r w:rsidRPr="009E75EE">
        <w:rPr>
          <w:rFonts w:cstheme="minorHAnsi"/>
          <w:highlight w:val="cyan"/>
        </w:rPr>
        <w:t>ο μέσος όρος επιχορηγούμενου</w:t>
      </w:r>
      <w:r w:rsidRPr="00D01FF6">
        <w:rPr>
          <w:rFonts w:cstheme="minorHAnsi"/>
        </w:rPr>
        <w:t xml:space="preserve"> </w:t>
      </w:r>
      <w:r w:rsidRPr="009E75EE">
        <w:rPr>
          <w:rFonts w:cstheme="minorHAnsi"/>
          <w:strike/>
          <w:highlight w:val="red"/>
        </w:rPr>
        <w:t>Π/Υ 97.755,94</w:t>
      </w:r>
      <w:r w:rsidRPr="00D01FF6">
        <w:rPr>
          <w:rFonts w:cstheme="minorHAnsi"/>
        </w:rPr>
        <w:t xml:space="preserve"> </w:t>
      </w:r>
      <w:r w:rsidRPr="009E75EE">
        <w:rPr>
          <w:rFonts w:cstheme="minorHAnsi"/>
          <w:highlight w:val="cyan"/>
        </w:rPr>
        <w:t>ευρώ και ο μέσος όρος καταβληθείσας δημόσιας δαπάνης</w:t>
      </w:r>
      <w:r w:rsidRPr="00D01FF6">
        <w:rPr>
          <w:rFonts w:cstheme="minorHAnsi"/>
        </w:rPr>
        <w:t xml:space="preserve"> </w:t>
      </w:r>
      <w:r w:rsidRPr="009E75EE">
        <w:rPr>
          <w:rFonts w:cstheme="minorHAnsi"/>
          <w:strike/>
          <w:highlight w:val="red"/>
        </w:rPr>
        <w:t>42.227,46</w:t>
      </w:r>
      <w:r w:rsidRPr="00D01FF6">
        <w:rPr>
          <w:rFonts w:cstheme="minorHAnsi"/>
        </w:rPr>
        <w:t xml:space="preserve"> </w:t>
      </w:r>
      <w:r w:rsidRPr="009E75EE">
        <w:rPr>
          <w:rFonts w:cstheme="minorHAnsi"/>
          <w:highlight w:val="cyan"/>
        </w:rPr>
        <w:t>ευρώ.</w:t>
      </w:r>
    </w:p>
    <w:p w:rsidR="00CB3F42" w:rsidRPr="005E19BB" w:rsidRDefault="00CB3F42" w:rsidP="009E75EE">
      <w:pPr>
        <w:spacing w:after="0" w:line="320" w:lineRule="atLeast"/>
        <w:jc w:val="both"/>
        <w:rPr>
          <w:rFonts w:cstheme="minorHAnsi"/>
          <w:highlight w:val="red"/>
        </w:rPr>
      </w:pPr>
      <w:r w:rsidRPr="005E19BB">
        <w:rPr>
          <w:rFonts w:cstheme="minorHAnsi"/>
          <w:highlight w:val="red"/>
        </w:rPr>
        <w:t xml:space="preserve">Η πλειοψηφία των ολοκληρωμένων επενδυτικών σχεδίων (ποσοστό 79,26%) πραγματοποιήθηκε στην Αττική και την Κεντρική Μακεδονία, με τα ποσοστά να ανέρχονται σε 49,69% (242 έργα) και 29,57% (144 έργα), αντίστοιχα. </w:t>
      </w:r>
    </w:p>
    <w:p w:rsidR="00CB3F42" w:rsidRPr="005E19BB" w:rsidRDefault="00CB3F42" w:rsidP="009E75EE">
      <w:pPr>
        <w:spacing w:after="0" w:line="320" w:lineRule="atLeast"/>
        <w:jc w:val="both"/>
        <w:rPr>
          <w:rFonts w:cstheme="minorHAnsi"/>
          <w:highlight w:val="red"/>
        </w:rPr>
      </w:pPr>
      <w:r w:rsidRPr="005E19BB">
        <w:rPr>
          <w:rFonts w:cstheme="minorHAnsi"/>
          <w:highlight w:val="red"/>
        </w:rPr>
        <w:t>Ποσοστό 93% των ολοκληρωμένων έργων υλοποιήθηκαν από πολύ μικρές, μικρές και μεσαίες επιχειρήσεις. Ειδικότερα:</w:t>
      </w:r>
    </w:p>
    <w:p w:rsidR="00CB3F42" w:rsidRPr="005E19BB" w:rsidRDefault="00CB3F42" w:rsidP="00AF7BF1">
      <w:pPr>
        <w:pStyle w:val="a3"/>
        <w:numPr>
          <w:ilvl w:val="0"/>
          <w:numId w:val="11"/>
        </w:numPr>
        <w:spacing w:line="320" w:lineRule="atLeast"/>
        <w:jc w:val="both"/>
        <w:rPr>
          <w:rFonts w:cstheme="minorHAnsi"/>
          <w:highlight w:val="red"/>
        </w:rPr>
      </w:pPr>
      <w:r w:rsidRPr="005E19BB">
        <w:rPr>
          <w:rFonts w:cstheme="minorHAnsi"/>
          <w:highlight w:val="red"/>
        </w:rPr>
        <w:t>Το 72,6</w:t>
      </w:r>
      <w:r w:rsidR="00B81CA5" w:rsidRPr="005E19BB">
        <w:rPr>
          <w:rFonts w:cstheme="minorHAnsi"/>
          <w:highlight w:val="red"/>
        </w:rPr>
        <w:t>8</w:t>
      </w:r>
      <w:r w:rsidRPr="005E19BB">
        <w:rPr>
          <w:rFonts w:cstheme="minorHAnsi"/>
          <w:highlight w:val="red"/>
        </w:rPr>
        <w:t xml:space="preserve">% του συνόλου των ολοκληρωμένων επενδυτικών έργων υλοποιήθηκαν από πολύ μικρές και μικρές επιχειρήσεις (354 επενδυτικά έργα εκ συνόλου 487) οι οποίες κάλυψαν το 64,05% του συνολικού εγκεκριμένου Π/Υ (44,4 εκ. ευρώ) και το 66,15% της καταβληθείσας δημόσιας δαπάνης του προγράμματος (18,1 εκ. ευρώ). </w:t>
      </w:r>
    </w:p>
    <w:p w:rsidR="00CB3F42" w:rsidRPr="005E19BB" w:rsidRDefault="00CB3F42" w:rsidP="00AF7BF1">
      <w:pPr>
        <w:pStyle w:val="a3"/>
        <w:numPr>
          <w:ilvl w:val="0"/>
          <w:numId w:val="11"/>
        </w:numPr>
        <w:spacing w:line="320" w:lineRule="atLeast"/>
        <w:jc w:val="both"/>
        <w:rPr>
          <w:rFonts w:cstheme="minorHAnsi"/>
          <w:highlight w:val="red"/>
        </w:rPr>
      </w:pPr>
      <w:r w:rsidRPr="005E19BB">
        <w:rPr>
          <w:rFonts w:cstheme="minorHAnsi"/>
          <w:highlight w:val="red"/>
        </w:rPr>
        <w:t>198 από τα 354 ολοκληρωμένα έργα των πολύ μικρών και μικρών επιχειρήσεων (ποσοστό 55,9%) ανήκουν στη μεταποίηση.</w:t>
      </w:r>
    </w:p>
    <w:p w:rsidR="00CB3F42" w:rsidRPr="005E19BB" w:rsidRDefault="00CB3F42" w:rsidP="00AF7BF1">
      <w:pPr>
        <w:pStyle w:val="a3"/>
        <w:numPr>
          <w:ilvl w:val="0"/>
          <w:numId w:val="11"/>
        </w:numPr>
        <w:spacing w:line="320" w:lineRule="atLeast"/>
        <w:jc w:val="both"/>
        <w:rPr>
          <w:rFonts w:cstheme="minorHAnsi"/>
          <w:highlight w:val="red"/>
        </w:rPr>
      </w:pPr>
      <w:r w:rsidRPr="005E19BB">
        <w:rPr>
          <w:rFonts w:cstheme="minorHAnsi"/>
          <w:highlight w:val="red"/>
        </w:rPr>
        <w:t>Οι πολύ μικρές και μικρές επιχειρήσεις του τομέα της μεταποίησης που ολοκλήρωσαν τα επενδυτικά τους έργα καταλαμβάνουν το 55,93% των ολοκληρωμένων έργων της κατηγορίας (198 από 354 έργα) σε σχέση με τους υπόλοιπους κλάδους (εμπόριο, ΤΠΕ κλπ) με μέσο όρο Π/Υ επένδυσης 87,1 χιλ. ευρώ και μέσο όρο. δημόσιας δαπάνης 38,2 χιλ. ευρώ.</w:t>
      </w:r>
    </w:p>
    <w:p w:rsidR="00CB3F42" w:rsidRPr="005E19BB" w:rsidRDefault="00CB3F42" w:rsidP="00AF7BF1">
      <w:pPr>
        <w:pStyle w:val="a3"/>
        <w:numPr>
          <w:ilvl w:val="0"/>
          <w:numId w:val="11"/>
        </w:numPr>
        <w:spacing w:line="320" w:lineRule="atLeast"/>
        <w:jc w:val="both"/>
        <w:rPr>
          <w:rFonts w:cstheme="minorHAnsi"/>
          <w:highlight w:val="red"/>
        </w:rPr>
      </w:pPr>
      <w:r w:rsidRPr="005E19BB">
        <w:rPr>
          <w:rFonts w:cstheme="minorHAnsi"/>
          <w:highlight w:val="red"/>
        </w:rPr>
        <w:t>Το 20,3% του συνόλου των ολοκληρωμένων επενδυτικών έργων υλοποιήθηκαν από μεσαίες επιχειρήσεις (99 επενδυτικά έργα εκ συνόλου 487) οι οποίες κάλυψαν το 25,47% του συνολικού εγκεκριμένου Π/Υ (44,4 εκ. ευρώ) και το 26,52% της καταβληθείσας δημόσιας δαπάνης του προγράμματος.(18,1 εκ. ευρώ).</w:t>
      </w:r>
    </w:p>
    <w:p w:rsidR="00CB3F42" w:rsidRPr="005E19BB" w:rsidRDefault="00CB3F42" w:rsidP="00AF7BF1">
      <w:pPr>
        <w:pStyle w:val="a3"/>
        <w:numPr>
          <w:ilvl w:val="0"/>
          <w:numId w:val="11"/>
        </w:numPr>
        <w:spacing w:line="320" w:lineRule="atLeast"/>
        <w:jc w:val="both"/>
        <w:rPr>
          <w:rFonts w:cstheme="minorHAnsi"/>
          <w:highlight w:val="red"/>
        </w:rPr>
      </w:pPr>
      <w:r w:rsidRPr="005E19BB">
        <w:rPr>
          <w:rFonts w:cstheme="minorHAnsi"/>
          <w:highlight w:val="red"/>
        </w:rPr>
        <w:t xml:space="preserve">73 από τα 354 ολοκληρωμένα έργα των πολύ μικρών και μικρών επιχειρήσεων (ποσοστό </w:t>
      </w:r>
      <w:r w:rsidR="00586A5F" w:rsidRPr="005E19BB">
        <w:rPr>
          <w:rFonts w:cstheme="minorHAnsi"/>
          <w:highlight w:val="red"/>
        </w:rPr>
        <w:t>20,62</w:t>
      </w:r>
      <w:r w:rsidRPr="005E19BB">
        <w:rPr>
          <w:rFonts w:cstheme="minorHAnsi"/>
          <w:highlight w:val="red"/>
        </w:rPr>
        <w:t>%) ανήκουν στη μεταποίηση.</w:t>
      </w:r>
    </w:p>
    <w:p w:rsidR="00CB3F42" w:rsidRPr="005E19BB" w:rsidRDefault="00CB3F42" w:rsidP="00AF7BF1">
      <w:pPr>
        <w:pStyle w:val="a3"/>
        <w:numPr>
          <w:ilvl w:val="0"/>
          <w:numId w:val="11"/>
        </w:numPr>
        <w:spacing w:line="320" w:lineRule="atLeast"/>
        <w:jc w:val="both"/>
        <w:rPr>
          <w:rFonts w:cstheme="minorHAnsi"/>
          <w:highlight w:val="red"/>
        </w:rPr>
      </w:pPr>
      <w:r w:rsidRPr="005E19BB">
        <w:rPr>
          <w:rFonts w:cstheme="minorHAnsi"/>
          <w:highlight w:val="red"/>
        </w:rPr>
        <w:t>Οι μεσαίες μεταποιητικές κατέχουν το 73,74% της κατηγορίας τους (73 από 99 έργα) με μέσο όρο Π/Υ 123,1 χιλ. ευρώ και μέσο όρο δημόσιας δαπάνης 53,3 χιλ. ευρώ.</w:t>
      </w:r>
    </w:p>
    <w:p w:rsidR="00CB3F42" w:rsidRPr="005E19BB" w:rsidRDefault="00CB3F42" w:rsidP="00AF7BF1">
      <w:pPr>
        <w:pStyle w:val="a3"/>
        <w:numPr>
          <w:ilvl w:val="0"/>
          <w:numId w:val="11"/>
        </w:numPr>
        <w:spacing w:line="320" w:lineRule="atLeast"/>
        <w:jc w:val="both"/>
        <w:rPr>
          <w:rFonts w:cstheme="minorHAnsi"/>
          <w:highlight w:val="red"/>
        </w:rPr>
      </w:pPr>
      <w:r w:rsidRPr="005E19BB">
        <w:rPr>
          <w:rFonts w:cstheme="minorHAnsi"/>
          <w:highlight w:val="red"/>
        </w:rPr>
        <w:t>Οι μεγάλες επιχειρήσεις του τομέα της μεταποίησης που ολοκλήρωσαν τα επενδυτικά τους έργα αποτελούν το 82,35% της κατηγορίας τους (28 από 34 έργα) με μέσο όρο Π/Υ 145 χιλ. ευρώ και μέσο όρο δημόσιας δαπάνης 41,5 χιλ. ευρώ.</w:t>
      </w:r>
    </w:p>
    <w:p w:rsidR="005D6052" w:rsidRPr="005D6052" w:rsidRDefault="00CB3F42" w:rsidP="00AF7BF1">
      <w:pPr>
        <w:spacing w:after="0" w:line="320" w:lineRule="atLeast"/>
        <w:jc w:val="both"/>
        <w:rPr>
          <w:rStyle w:val="hps"/>
          <w:rFonts w:eastAsia="Calibri" w:cstheme="minorHAnsi"/>
          <w:color w:val="222222"/>
        </w:rPr>
      </w:pPr>
      <w:r w:rsidRPr="00B97F9F">
        <w:rPr>
          <w:rFonts w:cstheme="minorHAnsi"/>
          <w:highlight w:val="red"/>
        </w:rPr>
        <w:t>Οι επωφελούμενες πολύ μικρές και μικρές επιχειρήσεις του μεταποιητικού τομέα υλοποίησαν επενδυτικά σχέδια με Π/Υ μεγαλύτερους των πολύ μικρών, μικρών επιχειρήσεων αλλά και των μεγάλων</w:t>
      </w:r>
      <w:r w:rsidR="00915115" w:rsidRPr="00B97F9F">
        <w:rPr>
          <w:rFonts w:cstheme="minorHAnsi"/>
          <w:highlight w:val="red"/>
        </w:rPr>
        <w:t xml:space="preserve"> </w:t>
      </w:r>
      <w:r w:rsidR="00915115" w:rsidRPr="00B97F9F">
        <w:rPr>
          <w:rFonts w:cstheme="minorHAnsi"/>
          <w:highlight w:val="cyan"/>
        </w:rPr>
        <w:t xml:space="preserve">σε συνεργασία </w:t>
      </w:r>
      <w:r w:rsidRPr="00B97F9F">
        <w:rPr>
          <w:rFonts w:cstheme="minorHAnsi"/>
          <w:highlight w:val="red"/>
        </w:rPr>
        <w:t>επιχειρήσεων των άλλων κλάδων, αντικατοπτρίζοντας τις ιδιαίτερες</w:t>
      </w:r>
      <w:r w:rsidRPr="007F4498">
        <w:rPr>
          <w:rFonts w:cstheme="minorHAnsi"/>
        </w:rPr>
        <w:t xml:space="preserve"> ανάγκες στήριξης των επιχειρήσεων του μεταποιητικού τομέα, αλλά και την πρόθεσή τους να υλοποιήσουν ολοκληρωμένα επενδυτικά σχέδια που θα τις βοηθήσουν να</w:t>
      </w:r>
      <w:r w:rsidRPr="005D6052">
        <w:rPr>
          <w:rFonts w:cstheme="minorHAnsi"/>
        </w:rPr>
        <w:t xml:space="preserve"> </w:t>
      </w:r>
      <w:r w:rsidR="005D6052" w:rsidRPr="005D6052">
        <w:rPr>
          <w:rFonts w:eastAsia="Calibri" w:cstheme="minorHAnsi"/>
          <w:color w:val="222222"/>
          <w:highlight w:val="cyan"/>
        </w:rPr>
        <w:t xml:space="preserve">επεκτείνουν </w:t>
      </w:r>
      <w:r w:rsidR="005D6052" w:rsidRPr="005D6052">
        <w:rPr>
          <w:rStyle w:val="hps"/>
          <w:rFonts w:eastAsia="Calibri" w:cstheme="minorHAnsi"/>
          <w:color w:val="222222"/>
          <w:highlight w:val="cyan"/>
        </w:rPr>
        <w:t>τις δραστηριότητές</w:t>
      </w:r>
      <w:r w:rsidR="005D6052" w:rsidRPr="005D6052">
        <w:rPr>
          <w:rFonts w:eastAsia="Calibri" w:cstheme="minorHAnsi"/>
          <w:color w:val="222222"/>
          <w:highlight w:val="cyan"/>
        </w:rPr>
        <w:t xml:space="preserve"> </w:t>
      </w:r>
      <w:r w:rsidR="005D6052" w:rsidRPr="005D6052">
        <w:rPr>
          <w:rStyle w:val="hps"/>
          <w:rFonts w:eastAsia="Calibri" w:cstheme="minorHAnsi"/>
          <w:color w:val="222222"/>
          <w:highlight w:val="cyan"/>
        </w:rPr>
        <w:t>της εξωστρέφειάς</w:t>
      </w:r>
      <w:r w:rsidR="005D6052" w:rsidRPr="005D6052">
        <w:rPr>
          <w:rFonts w:eastAsia="Calibri" w:cstheme="minorHAnsi"/>
          <w:color w:val="222222"/>
          <w:highlight w:val="cyan"/>
        </w:rPr>
        <w:t xml:space="preserve"> </w:t>
      </w:r>
      <w:r w:rsidR="005D6052" w:rsidRPr="005D6052">
        <w:rPr>
          <w:rStyle w:val="hps"/>
          <w:rFonts w:eastAsia="Calibri" w:cstheme="minorHAnsi"/>
          <w:color w:val="222222"/>
          <w:highlight w:val="cyan"/>
        </w:rPr>
        <w:t>τους σε ξένες χώρες</w:t>
      </w:r>
      <w:r w:rsidR="005D6052" w:rsidRPr="005D6052">
        <w:rPr>
          <w:rFonts w:eastAsia="Calibri" w:cstheme="minorHAnsi"/>
          <w:color w:val="222222"/>
          <w:highlight w:val="cyan"/>
        </w:rPr>
        <w:t xml:space="preserve"> </w:t>
      </w:r>
      <w:r w:rsidR="005D6052" w:rsidRPr="005D6052">
        <w:rPr>
          <w:rStyle w:val="hps"/>
          <w:rFonts w:eastAsia="Calibri" w:cstheme="minorHAnsi"/>
          <w:color w:val="222222"/>
          <w:highlight w:val="cyan"/>
        </w:rPr>
        <w:t>και</w:t>
      </w:r>
      <w:r w:rsidR="005D6052" w:rsidRPr="005D6052">
        <w:rPr>
          <w:rFonts w:eastAsia="Calibri" w:cstheme="minorHAnsi"/>
          <w:color w:val="222222"/>
          <w:highlight w:val="cyan"/>
        </w:rPr>
        <w:t xml:space="preserve"> </w:t>
      </w:r>
      <w:r w:rsidR="005D6052" w:rsidRPr="005D6052">
        <w:rPr>
          <w:rStyle w:val="hps"/>
          <w:rFonts w:eastAsia="Calibri" w:cstheme="minorHAnsi"/>
          <w:color w:val="222222"/>
          <w:highlight w:val="cyan"/>
        </w:rPr>
        <w:t>να προωθήσουν</w:t>
      </w:r>
      <w:r w:rsidR="005D6052" w:rsidRPr="005D6052">
        <w:rPr>
          <w:rFonts w:eastAsia="Calibri" w:cstheme="minorHAnsi"/>
          <w:color w:val="222222"/>
          <w:highlight w:val="cyan"/>
        </w:rPr>
        <w:t xml:space="preserve"> </w:t>
      </w:r>
      <w:r w:rsidR="005D6052" w:rsidRPr="005D6052">
        <w:rPr>
          <w:rStyle w:val="hps"/>
          <w:rFonts w:eastAsia="Calibri" w:cstheme="minorHAnsi"/>
          <w:color w:val="222222"/>
          <w:highlight w:val="cyan"/>
        </w:rPr>
        <w:t>την προοπτική</w:t>
      </w:r>
      <w:r w:rsidR="005D6052" w:rsidRPr="005D6052">
        <w:rPr>
          <w:rFonts w:eastAsia="Calibri" w:cstheme="minorHAnsi"/>
          <w:color w:val="222222"/>
          <w:highlight w:val="cyan"/>
        </w:rPr>
        <w:t xml:space="preserve"> </w:t>
      </w:r>
      <w:r w:rsidR="005D6052" w:rsidRPr="005D6052">
        <w:rPr>
          <w:rStyle w:val="hps"/>
          <w:rFonts w:eastAsia="Calibri" w:cstheme="minorHAnsi"/>
          <w:color w:val="222222"/>
          <w:highlight w:val="cyan"/>
        </w:rPr>
        <w:t>της διεθνοποίησης</w:t>
      </w:r>
      <w:r w:rsidR="005D6052" w:rsidRPr="005D6052">
        <w:rPr>
          <w:rFonts w:eastAsia="Calibri" w:cstheme="minorHAnsi"/>
          <w:color w:val="222222"/>
          <w:highlight w:val="cyan"/>
        </w:rPr>
        <w:t xml:space="preserve"> </w:t>
      </w:r>
      <w:r w:rsidR="005D6052" w:rsidRPr="005D6052">
        <w:rPr>
          <w:rStyle w:val="hps"/>
          <w:rFonts w:eastAsia="Calibri" w:cstheme="minorHAnsi"/>
          <w:color w:val="222222"/>
          <w:highlight w:val="cyan"/>
        </w:rPr>
        <w:t>τους</w:t>
      </w:r>
      <w:r w:rsidR="005D6052" w:rsidRPr="005D6052">
        <w:rPr>
          <w:rFonts w:cstheme="minorHAnsi"/>
        </w:rPr>
        <w:t xml:space="preserve"> </w:t>
      </w:r>
      <w:r w:rsidRPr="005D6052">
        <w:rPr>
          <w:rFonts w:cstheme="minorHAnsi"/>
        </w:rPr>
        <w:t xml:space="preserve">σε συνθήκες οικονομικής κρίσης και παρατεταμένης ύφεσης. </w:t>
      </w:r>
    </w:p>
    <w:p w:rsidR="00CB3F42" w:rsidRPr="005D6052" w:rsidRDefault="00CB3F42" w:rsidP="00AF7BF1">
      <w:pPr>
        <w:spacing w:line="320" w:lineRule="atLeast"/>
        <w:jc w:val="both"/>
        <w:rPr>
          <w:rFonts w:cstheme="minorHAnsi"/>
        </w:rPr>
      </w:pPr>
    </w:p>
    <w:p w:rsidR="00CB3F42" w:rsidRPr="00B97F9F" w:rsidRDefault="00CB3F42" w:rsidP="00AF7BF1">
      <w:pPr>
        <w:spacing w:line="320" w:lineRule="atLeast"/>
        <w:jc w:val="both"/>
        <w:rPr>
          <w:rFonts w:cstheme="minorHAnsi"/>
        </w:rPr>
      </w:pPr>
      <w:r w:rsidRPr="00B97F9F">
        <w:rPr>
          <w:rFonts w:cstheme="minorHAnsi"/>
          <w:highlight w:val="cyan"/>
        </w:rPr>
        <w:t>Η Διεύθυνση Στήριξης Μικρομεσαίων Επιχειρήσεων ανέλαβε τη διοικητική παρακολούθηση του προγράμματος σε συνεργασία με την Επιτροπή Αξιολόγησης αιτήσεων ένταξης και την Επιτροπή Παρακολούθησης και Παραλαβής Έργου. Ειδικότερα:</w:t>
      </w:r>
    </w:p>
    <w:p w:rsidR="00CB3F42" w:rsidRPr="005E19BB" w:rsidRDefault="00CB3F42" w:rsidP="00AF7BF1">
      <w:pPr>
        <w:pStyle w:val="a3"/>
        <w:numPr>
          <w:ilvl w:val="0"/>
          <w:numId w:val="10"/>
        </w:numPr>
        <w:spacing w:line="320" w:lineRule="atLeast"/>
        <w:jc w:val="both"/>
        <w:rPr>
          <w:rFonts w:cstheme="minorHAnsi"/>
          <w:highlight w:val="cyan"/>
        </w:rPr>
      </w:pPr>
      <w:r w:rsidRPr="005E19BB">
        <w:rPr>
          <w:rFonts w:cstheme="minorHAnsi"/>
          <w:highlight w:val="cyan"/>
        </w:rPr>
        <w:t>Η Επιτροπή Αξιολόγησης συνεδρίασε συνολικά δεκατρείς (</w:t>
      </w:r>
      <w:r w:rsidR="00926A88" w:rsidRPr="005E19BB">
        <w:rPr>
          <w:rFonts w:cstheme="minorHAnsi"/>
          <w:highlight w:val="cyan"/>
        </w:rPr>
        <w:t>7</w:t>
      </w:r>
      <w:r w:rsidRPr="005E19BB">
        <w:rPr>
          <w:rFonts w:cstheme="minorHAnsi"/>
          <w:highlight w:val="cyan"/>
        </w:rPr>
        <w:t>) φορές σε διάστημα</w:t>
      </w:r>
      <w:r w:rsidR="005E19BB" w:rsidRPr="005E19BB">
        <w:rPr>
          <w:rFonts w:cstheme="minorHAnsi"/>
          <w:highlight w:val="cyan"/>
        </w:rPr>
        <w:t xml:space="preserve"> λιγότερο των</w:t>
      </w:r>
      <w:r w:rsidRPr="005E19BB">
        <w:rPr>
          <w:rFonts w:cstheme="minorHAnsi"/>
          <w:highlight w:val="cyan"/>
        </w:rPr>
        <w:t xml:space="preserve"> 2 μηνών προκειμένου να εξετάσει</w:t>
      </w:r>
      <w:r w:rsidR="005E19BB" w:rsidRPr="005E19BB">
        <w:rPr>
          <w:rFonts w:cstheme="minorHAnsi"/>
          <w:highlight w:val="cyan"/>
        </w:rPr>
        <w:t xml:space="preserve"> από τις 828 ηλεκτρονικές υποβολές προτάσεων τις 783 αιτούμενες προτάσεις</w:t>
      </w:r>
      <w:r w:rsidRPr="005E19BB">
        <w:rPr>
          <w:rFonts w:cstheme="minorHAnsi"/>
          <w:highlight w:val="cyan"/>
        </w:rPr>
        <w:t xml:space="preserve"> ένταξης των ενδιαφερόμενων επιχειρήσεων (</w:t>
      </w:r>
      <w:r w:rsidR="005E19BB" w:rsidRPr="005E19BB">
        <w:rPr>
          <w:rFonts w:cstheme="minorHAnsi"/>
          <w:highlight w:val="cyan"/>
        </w:rPr>
        <w:t>3,5 συνεδριάσε</w:t>
      </w:r>
      <w:r w:rsidRPr="005E19BB">
        <w:rPr>
          <w:rFonts w:cstheme="minorHAnsi"/>
          <w:highlight w:val="cyan"/>
        </w:rPr>
        <w:t xml:space="preserve">ις </w:t>
      </w:r>
      <w:r w:rsidR="005E19BB">
        <w:rPr>
          <w:rFonts w:cstheme="minorHAnsi"/>
          <w:highlight w:val="cyan"/>
        </w:rPr>
        <w:t xml:space="preserve">περίπου </w:t>
      </w:r>
      <w:r w:rsidRPr="005E19BB">
        <w:rPr>
          <w:rFonts w:cstheme="minorHAnsi"/>
          <w:highlight w:val="cyan"/>
        </w:rPr>
        <w:t xml:space="preserve">ανά μήνα). Τα αποτελέσματα των παραπάνω συνεδριάσεων (εντάξεις, απορρίψεις) καταγράφηκαν σε μία (1) συγκεντρική απόφαση αποδοχής των επιμέρους πρακτικών της Επιτροπής Αξιολόγησης. </w:t>
      </w:r>
    </w:p>
    <w:p w:rsidR="00CB3F42" w:rsidRPr="002E4E43" w:rsidRDefault="00CB3F42" w:rsidP="00AF7BF1">
      <w:pPr>
        <w:pStyle w:val="a3"/>
        <w:numPr>
          <w:ilvl w:val="0"/>
          <w:numId w:val="10"/>
        </w:numPr>
        <w:spacing w:line="320" w:lineRule="atLeast"/>
        <w:jc w:val="both"/>
        <w:rPr>
          <w:rFonts w:cstheme="minorHAnsi"/>
          <w:highlight w:val="cyan"/>
        </w:rPr>
      </w:pPr>
      <w:r w:rsidRPr="00891E2C">
        <w:rPr>
          <w:rFonts w:cstheme="minorHAnsi"/>
          <w:highlight w:val="cyan"/>
        </w:rPr>
        <w:t xml:space="preserve">Η Επιτροπή Παρακολούθησης και Παραλαβής του προγράμματος, συνεδρίασε συνολικά </w:t>
      </w:r>
      <w:r w:rsidR="002E4E43" w:rsidRPr="002E4E43">
        <w:rPr>
          <w:rFonts w:cstheme="minorHAnsi"/>
          <w:highlight w:val="cyan"/>
        </w:rPr>
        <w:t>29</w:t>
      </w:r>
      <w:r w:rsidRPr="002E4E43">
        <w:rPr>
          <w:rFonts w:cstheme="minorHAnsi"/>
          <w:highlight w:val="cyan"/>
        </w:rPr>
        <w:t xml:space="preserve"> φορές σε </w:t>
      </w:r>
      <w:r w:rsidRPr="00891E2C">
        <w:rPr>
          <w:rFonts w:cstheme="minorHAnsi"/>
          <w:highlight w:val="cyan"/>
        </w:rPr>
        <w:t xml:space="preserve">διάστημα </w:t>
      </w:r>
      <w:r w:rsidR="00891E2C" w:rsidRPr="00891E2C">
        <w:rPr>
          <w:rFonts w:cstheme="minorHAnsi"/>
          <w:highlight w:val="cyan"/>
        </w:rPr>
        <w:t>5 ετών</w:t>
      </w:r>
      <w:r w:rsidRPr="00891E2C">
        <w:rPr>
          <w:rFonts w:cstheme="minorHAnsi"/>
          <w:highlight w:val="cyan"/>
        </w:rPr>
        <w:t xml:space="preserve"> </w:t>
      </w:r>
      <w:r w:rsidRPr="002E4E43">
        <w:rPr>
          <w:rFonts w:cstheme="minorHAnsi"/>
          <w:highlight w:val="cyan"/>
        </w:rPr>
        <w:t>κι εξέτασε συνολικά</w:t>
      </w:r>
      <w:r w:rsidRPr="00D01FF6">
        <w:rPr>
          <w:rFonts w:cstheme="minorHAnsi"/>
        </w:rPr>
        <w:t xml:space="preserve"> </w:t>
      </w:r>
      <w:r w:rsidRPr="002E4E43">
        <w:rPr>
          <w:rFonts w:cstheme="minorHAnsi"/>
          <w:strike/>
          <w:highlight w:val="red"/>
        </w:rPr>
        <w:t>1.046</w:t>
      </w:r>
      <w:r w:rsidRPr="00D01FF6">
        <w:rPr>
          <w:rFonts w:cstheme="minorHAnsi"/>
          <w:highlight w:val="red"/>
        </w:rPr>
        <w:t xml:space="preserve"> αιτήματα</w:t>
      </w:r>
      <w:r w:rsidRPr="00D01FF6">
        <w:rPr>
          <w:rFonts w:cstheme="minorHAnsi"/>
        </w:rPr>
        <w:t xml:space="preserve"> (</w:t>
      </w:r>
      <w:r w:rsidRPr="00D01FF6">
        <w:rPr>
          <w:rFonts w:cstheme="minorHAnsi"/>
          <w:highlight w:val="red"/>
        </w:rPr>
        <w:t>σχεδόν 1 συνεδρίαση ανά μήνα εξετάζοντας κατά μέσο όρο 88 αιτήματα ανά συνεδρίαση</w:t>
      </w:r>
      <w:r w:rsidRPr="00D01FF6">
        <w:rPr>
          <w:rFonts w:cstheme="minorHAnsi"/>
        </w:rPr>
        <w:t xml:space="preserve">). </w:t>
      </w:r>
      <w:r w:rsidRPr="002E4E43">
        <w:rPr>
          <w:rFonts w:cstheme="minorHAnsi"/>
          <w:highlight w:val="cyan"/>
        </w:rPr>
        <w:t>Τα αποτελέσματα των παραπάνω αποφάσεων καταγράφηκαν σε δεκαεννέα (</w:t>
      </w:r>
      <w:r w:rsidR="002E4E43">
        <w:rPr>
          <w:rFonts w:cstheme="minorHAnsi"/>
          <w:highlight w:val="cyan"/>
        </w:rPr>
        <w:t>30</w:t>
      </w:r>
      <w:r w:rsidRPr="002E4E43">
        <w:rPr>
          <w:rFonts w:cstheme="minorHAnsi"/>
          <w:highlight w:val="cyan"/>
        </w:rPr>
        <w:t>) αποφάσεις αποδοχής των επιμέρους πρακτικών της Επιτροπής Παρακολούθησης.</w:t>
      </w:r>
    </w:p>
    <w:p w:rsidR="00CB3F42" w:rsidRPr="00FC3065" w:rsidRDefault="00CB3F42" w:rsidP="00AF7BF1">
      <w:pPr>
        <w:pStyle w:val="a3"/>
        <w:numPr>
          <w:ilvl w:val="0"/>
          <w:numId w:val="10"/>
        </w:numPr>
        <w:spacing w:line="320" w:lineRule="atLeast"/>
        <w:jc w:val="both"/>
        <w:rPr>
          <w:rFonts w:cstheme="minorHAnsi"/>
          <w:highlight w:val="cyan"/>
        </w:rPr>
      </w:pPr>
      <w:r w:rsidRPr="00FC3065">
        <w:rPr>
          <w:rFonts w:cstheme="minorHAnsi"/>
          <w:highlight w:val="cyan"/>
        </w:rPr>
        <w:t xml:space="preserve">Τόσο η Επιτροπή Αξιολόγησης των αιτημάτων ένταξης, όσο και η Επιτροπή Παρακολούθησης και Παραλαβής του προγράμματος δεν ήταν </w:t>
      </w:r>
      <w:r w:rsidR="00FC3065" w:rsidRPr="00FC3065">
        <w:rPr>
          <w:rFonts w:cstheme="minorHAnsi"/>
          <w:highlight w:val="cyan"/>
        </w:rPr>
        <w:t>αμειβόμενες</w:t>
      </w:r>
      <w:r w:rsidRPr="00FC3065">
        <w:rPr>
          <w:rFonts w:cstheme="minorHAnsi"/>
          <w:highlight w:val="cyan"/>
        </w:rPr>
        <w:t>, σε αντίθεση με τις αντίστοιχες επιτροπές των προγραμμάτων κρατικών ενισχύσεων που έχουν προκηρυχθεί στο πλαίσιο του Επιχειρησιακού Προγράμματος «Ανταγωνιστικότητα – Επιχειρηματικότητα - Καινοτομία» (</w:t>
      </w:r>
      <w:proofErr w:type="spellStart"/>
      <w:r w:rsidRPr="00FC3065">
        <w:rPr>
          <w:rFonts w:cstheme="minorHAnsi"/>
          <w:highlight w:val="cyan"/>
        </w:rPr>
        <w:t>ΕΠΑνΕΚ</w:t>
      </w:r>
      <w:proofErr w:type="spellEnd"/>
      <w:r w:rsidRPr="00FC3065">
        <w:rPr>
          <w:rFonts w:cstheme="minorHAnsi"/>
          <w:highlight w:val="cyan"/>
        </w:rPr>
        <w:t xml:space="preserve">) του ΕΣΠΑ 2014-2020). </w:t>
      </w:r>
    </w:p>
    <w:p w:rsidR="00CB3F42" w:rsidRPr="00D75118" w:rsidRDefault="00CB3F42" w:rsidP="00AF7BF1">
      <w:pPr>
        <w:spacing w:line="320" w:lineRule="atLeast"/>
        <w:jc w:val="both"/>
        <w:rPr>
          <w:rFonts w:cstheme="minorHAnsi"/>
        </w:rPr>
      </w:pPr>
      <w:r w:rsidRPr="00D75118">
        <w:rPr>
          <w:rFonts w:cstheme="minorHAnsi"/>
          <w:highlight w:val="cyan"/>
        </w:rPr>
        <w:t>Τα στοιχεία που προκύπτουν από την εκ των υστέρων αξιολόγηση του προγράμματος (</w:t>
      </w:r>
      <w:r w:rsidRPr="00D75118">
        <w:rPr>
          <w:rFonts w:cstheme="minorHAnsi"/>
          <w:highlight w:val="cyan"/>
          <w:lang w:val="en-US"/>
        </w:rPr>
        <w:t>ex</w:t>
      </w:r>
      <w:r w:rsidRPr="00D75118">
        <w:rPr>
          <w:rFonts w:cstheme="minorHAnsi"/>
          <w:highlight w:val="cyan"/>
        </w:rPr>
        <w:t>-</w:t>
      </w:r>
      <w:r w:rsidRPr="00D75118">
        <w:rPr>
          <w:rFonts w:cstheme="minorHAnsi"/>
          <w:highlight w:val="cyan"/>
          <w:lang w:val="en-US"/>
        </w:rPr>
        <w:t>post</w:t>
      </w:r>
      <w:r w:rsidRPr="00D75118">
        <w:rPr>
          <w:rFonts w:cstheme="minorHAnsi"/>
          <w:highlight w:val="cyan"/>
        </w:rPr>
        <w:t xml:space="preserve"> </w:t>
      </w:r>
      <w:r w:rsidRPr="00D75118">
        <w:rPr>
          <w:rFonts w:cstheme="minorHAnsi"/>
          <w:highlight w:val="cyan"/>
          <w:lang w:val="en-US"/>
        </w:rPr>
        <w:t>evaluation</w:t>
      </w:r>
      <w:r w:rsidRPr="00D75118">
        <w:rPr>
          <w:rFonts w:cstheme="minorHAnsi"/>
          <w:highlight w:val="cyan"/>
        </w:rPr>
        <w:t xml:space="preserve">) επιβεβαιώνουν τη στρατηγική επιλογή στόχευσης σε τομείς και κλάδους με δυνατότητες ανάπτυξης του εξωστρεφούς προσανατολισμού τους όπως η μεταποίηση κι επιλεγμένοι υποστηρικτικοί κλάδοι, καθώς οι επιχειρήσεις του τομέα ανταποκρίθηκαν </w:t>
      </w:r>
      <w:r w:rsidR="00B81CA5" w:rsidRPr="00D75118">
        <w:rPr>
          <w:rFonts w:cstheme="minorHAnsi"/>
          <w:highlight w:val="cyan"/>
        </w:rPr>
        <w:t xml:space="preserve">με σημαντική επάρκεια </w:t>
      </w:r>
      <w:r w:rsidRPr="00D75118">
        <w:rPr>
          <w:rFonts w:cstheme="minorHAnsi"/>
          <w:highlight w:val="cyan"/>
        </w:rPr>
        <w:t>στις απαιτήσεις υλοποίησης του προγράμματος καταφέρνοντας να ολοκληρώσουν τα επενδυτικά τους σχέδια σε μία εξαιρετικά δύσκολη για την ελληνική οικονομία συγκυρία.</w:t>
      </w:r>
      <w:r w:rsidRPr="00D75118">
        <w:rPr>
          <w:rFonts w:cstheme="minorHAnsi"/>
        </w:rPr>
        <w:t xml:space="preserve">      </w:t>
      </w:r>
    </w:p>
    <w:p w:rsidR="00CB3F42" w:rsidRPr="00403B8D" w:rsidRDefault="00CB3F42" w:rsidP="00AF7BF1">
      <w:pPr>
        <w:spacing w:line="320" w:lineRule="atLeast"/>
        <w:jc w:val="both"/>
        <w:rPr>
          <w:rFonts w:cstheme="minorHAnsi"/>
        </w:rPr>
      </w:pPr>
      <w:r w:rsidRPr="00403B8D">
        <w:rPr>
          <w:rFonts w:cstheme="minorHAnsi"/>
          <w:highlight w:val="cyan"/>
        </w:rPr>
        <w:t>Η παρούσα έκθεση συντάχθηκε με ίδια μέσα και χωρίς καμία οικονομική στήριξη με πρωτοβουλία της Διεύθυνσης Στήριξης Μικρομεσαίων Επιχειρήσεων της Γενικής Γραμματείας Βιομηχανίας, προκειμένου να εξαχθούν αξιόπιστα συμπεράσματα για το μελλοντικό σχεδιασμό μέτρων πολιτικής στήριξης των ελληνικών μικρομεσαίων επιχειρήσεων και της βιομηχανίας.</w:t>
      </w:r>
    </w:p>
    <w:p w:rsidR="00CB3F42" w:rsidRPr="00403B8D" w:rsidRDefault="00CB3F42" w:rsidP="00AF7BF1">
      <w:pPr>
        <w:spacing w:line="320" w:lineRule="atLeast"/>
        <w:rPr>
          <w:rFonts w:cstheme="minorHAnsi"/>
        </w:rPr>
      </w:pPr>
      <w:r w:rsidRPr="00403B8D">
        <w:rPr>
          <w:rFonts w:cstheme="minorHAnsi"/>
        </w:rPr>
        <w:br w:type="page"/>
      </w:r>
    </w:p>
    <w:p w:rsidR="00203EDD" w:rsidRPr="007029DD" w:rsidRDefault="002C0120" w:rsidP="00AF7BF1">
      <w:pPr>
        <w:pStyle w:val="1"/>
        <w:numPr>
          <w:ilvl w:val="0"/>
          <w:numId w:val="14"/>
        </w:numPr>
        <w:spacing w:line="320" w:lineRule="atLeast"/>
        <w:rPr>
          <w:rFonts w:asciiTheme="minorHAnsi" w:hAnsiTheme="minorHAnsi" w:cstheme="minorHAnsi"/>
          <w:color w:val="auto"/>
          <w:sz w:val="24"/>
          <w:szCs w:val="24"/>
        </w:rPr>
      </w:pPr>
      <w:bookmarkStart w:id="5" w:name="_Toc498003143"/>
      <w:bookmarkStart w:id="6" w:name="_Toc498075040"/>
      <w:bookmarkStart w:id="7" w:name="_Toc498076223"/>
      <w:bookmarkStart w:id="8" w:name="_Toc498076437"/>
      <w:bookmarkStart w:id="9" w:name="_Toc498076505"/>
      <w:r w:rsidRPr="007029DD">
        <w:rPr>
          <w:rFonts w:asciiTheme="minorHAnsi" w:hAnsiTheme="minorHAnsi" w:cstheme="minorHAnsi"/>
          <w:color w:val="auto"/>
          <w:sz w:val="24"/>
          <w:szCs w:val="24"/>
        </w:rPr>
        <w:t>Ιστορικό</w:t>
      </w:r>
      <w:bookmarkEnd w:id="5"/>
      <w:bookmarkEnd w:id="6"/>
      <w:bookmarkEnd w:id="7"/>
      <w:r w:rsidR="00C0596D" w:rsidRPr="007029DD">
        <w:rPr>
          <w:rFonts w:asciiTheme="minorHAnsi" w:hAnsiTheme="minorHAnsi" w:cstheme="minorHAnsi"/>
          <w:color w:val="auto"/>
          <w:sz w:val="24"/>
          <w:szCs w:val="24"/>
        </w:rPr>
        <w:t xml:space="preserve"> </w:t>
      </w:r>
      <w:r w:rsidR="004A1DE1" w:rsidRPr="007029DD">
        <w:rPr>
          <w:rFonts w:asciiTheme="minorHAnsi" w:hAnsiTheme="minorHAnsi" w:cstheme="minorHAnsi"/>
          <w:color w:val="auto"/>
          <w:sz w:val="24"/>
          <w:szCs w:val="24"/>
        </w:rPr>
        <w:t xml:space="preserve"> - Γενικά στοιχεία</w:t>
      </w:r>
      <w:bookmarkEnd w:id="8"/>
      <w:bookmarkEnd w:id="9"/>
    </w:p>
    <w:p w:rsidR="00C16C98" w:rsidRDefault="002C0120" w:rsidP="00AF7BF1">
      <w:pPr>
        <w:spacing w:after="0" w:line="320" w:lineRule="atLeast"/>
        <w:ind w:firstLine="357"/>
        <w:jc w:val="both"/>
        <w:rPr>
          <w:rFonts w:cstheme="minorHAnsi"/>
        </w:rPr>
      </w:pPr>
      <w:r w:rsidRPr="004D3E52">
        <w:rPr>
          <w:rFonts w:cstheme="minorHAnsi"/>
          <w:highlight w:val="cyan"/>
        </w:rPr>
        <w:t>Το πρόγραμμα</w:t>
      </w:r>
      <w:r w:rsidR="00E2768C" w:rsidRPr="004D3E52">
        <w:rPr>
          <w:rFonts w:cstheme="minorHAnsi"/>
          <w:highlight w:val="cyan"/>
        </w:rPr>
        <w:t xml:space="preserve"> «Εξωστρέφεια – Αντ</w:t>
      </w:r>
      <w:r w:rsidR="007F4498" w:rsidRPr="004D3E52">
        <w:rPr>
          <w:rFonts w:cstheme="minorHAnsi"/>
          <w:highlight w:val="cyan"/>
        </w:rPr>
        <w:t>αγωνιστικότητα των επιχειρήσεων</w:t>
      </w:r>
      <w:r w:rsidR="00E2768C" w:rsidRPr="004D3E52">
        <w:rPr>
          <w:rFonts w:cstheme="minorHAnsi"/>
          <w:highlight w:val="cyan"/>
        </w:rPr>
        <w:t xml:space="preserve">» </w:t>
      </w:r>
      <w:r w:rsidRPr="004D3E52">
        <w:rPr>
          <w:rFonts w:cstheme="minorHAnsi"/>
          <w:highlight w:val="cyan"/>
        </w:rPr>
        <w:t xml:space="preserve">συγχρηματοδοτήθηκε από το Επιχειρησιακό Πρόγραμμα Ανταγωνιστικότητα Επιχειρηματικότητα (ΕΠΑΕ) του ΕΣΠΑ 2007-2013. Προκηρύχθηκε </w:t>
      </w:r>
      <w:r w:rsidR="00264C34" w:rsidRPr="004D3E52">
        <w:rPr>
          <w:rFonts w:cstheme="minorHAnsi"/>
          <w:highlight w:val="cyan"/>
        </w:rPr>
        <w:t>από τη</w:t>
      </w:r>
      <w:r w:rsidR="00DE13AE" w:rsidRPr="004D3E52">
        <w:rPr>
          <w:rFonts w:cstheme="minorHAnsi"/>
          <w:highlight w:val="cyan"/>
        </w:rPr>
        <w:t xml:space="preserve"> Γενική Γραμματεία Βιομηχανίας/</w:t>
      </w:r>
      <w:r w:rsidR="00264C34" w:rsidRPr="004D3E52">
        <w:rPr>
          <w:rFonts w:cstheme="minorHAnsi"/>
          <w:highlight w:val="cyan"/>
        </w:rPr>
        <w:t xml:space="preserve">Διεύθυνση Στήριξης Μικρομεσαίων Επιχειρήσεων </w:t>
      </w:r>
      <w:r w:rsidR="00674055" w:rsidRPr="004D3E52">
        <w:rPr>
          <w:rFonts w:cstheme="minorHAnsi"/>
          <w:highlight w:val="cyan"/>
        </w:rPr>
        <w:t xml:space="preserve">λίγο πριν </w:t>
      </w:r>
      <w:r w:rsidR="00286C93" w:rsidRPr="004D3E52">
        <w:rPr>
          <w:rFonts w:cstheme="minorHAnsi"/>
          <w:highlight w:val="cyan"/>
        </w:rPr>
        <w:t>τη</w:t>
      </w:r>
      <w:r w:rsidR="00930126" w:rsidRPr="004D3E52">
        <w:rPr>
          <w:rFonts w:cstheme="minorHAnsi"/>
          <w:highlight w:val="cyan"/>
        </w:rPr>
        <w:t>ν</w:t>
      </w:r>
      <w:r w:rsidR="00286C93" w:rsidRPr="004D3E52">
        <w:rPr>
          <w:rFonts w:cstheme="minorHAnsi"/>
          <w:highlight w:val="cyan"/>
        </w:rPr>
        <w:t xml:space="preserve"> </w:t>
      </w:r>
      <w:r w:rsidR="007F4498" w:rsidRPr="004D3E52">
        <w:rPr>
          <w:rFonts w:cstheme="minorHAnsi"/>
          <w:highlight w:val="cyan"/>
        </w:rPr>
        <w:t>έναρξη</w:t>
      </w:r>
      <w:r w:rsidR="00286C93" w:rsidRPr="004D3E52">
        <w:rPr>
          <w:rFonts w:cstheme="minorHAnsi"/>
          <w:highlight w:val="cyan"/>
        </w:rPr>
        <w:t xml:space="preserve"> της οικονομικής κρίσης και της </w:t>
      </w:r>
      <w:r w:rsidR="00355AA3" w:rsidRPr="004D3E52">
        <w:rPr>
          <w:rFonts w:cstheme="minorHAnsi"/>
          <w:highlight w:val="cyan"/>
        </w:rPr>
        <w:t xml:space="preserve">μετέπειτα </w:t>
      </w:r>
      <w:r w:rsidR="00286C93" w:rsidRPr="004D3E52">
        <w:rPr>
          <w:rFonts w:cstheme="minorHAnsi"/>
          <w:highlight w:val="cyan"/>
        </w:rPr>
        <w:t xml:space="preserve">παρατεταμένης οικονομικής ύφεσης της ελληνικής οικονομίας </w:t>
      </w:r>
      <w:r w:rsidR="00674055" w:rsidRPr="004D3E52">
        <w:rPr>
          <w:rFonts w:cstheme="minorHAnsi"/>
          <w:highlight w:val="cyan"/>
        </w:rPr>
        <w:t xml:space="preserve">που ακολούθησε </w:t>
      </w:r>
      <w:r w:rsidR="00286C93" w:rsidRPr="004D3E52">
        <w:rPr>
          <w:rFonts w:cstheme="minorHAnsi"/>
          <w:highlight w:val="cyan"/>
        </w:rPr>
        <w:t xml:space="preserve">και </w:t>
      </w:r>
      <w:r w:rsidR="00286C93" w:rsidRPr="00F6099D">
        <w:rPr>
          <w:rFonts w:cstheme="minorHAnsi"/>
          <w:highlight w:val="cyan"/>
        </w:rPr>
        <w:t xml:space="preserve">συγκεκριμένα, στις </w:t>
      </w:r>
      <w:r w:rsidR="00F6099D" w:rsidRPr="00F6099D">
        <w:rPr>
          <w:rFonts w:cstheme="minorHAnsi"/>
          <w:highlight w:val="cyan"/>
        </w:rPr>
        <w:t>04-02-</w:t>
      </w:r>
      <w:r w:rsidRPr="00F6099D">
        <w:rPr>
          <w:rFonts w:cstheme="minorHAnsi"/>
          <w:highlight w:val="cyan"/>
        </w:rPr>
        <w:t>201</w:t>
      </w:r>
      <w:r w:rsidR="007F4498" w:rsidRPr="00F6099D">
        <w:rPr>
          <w:rFonts w:cstheme="minorHAnsi"/>
          <w:highlight w:val="cyan"/>
        </w:rPr>
        <w:t>1</w:t>
      </w:r>
      <w:r w:rsidR="00F6099D" w:rsidRPr="00F6099D">
        <w:rPr>
          <w:rFonts w:cstheme="minorHAnsi"/>
          <w:highlight w:val="cyan"/>
        </w:rPr>
        <w:t xml:space="preserve"> (Απόφαση Προκήρυξης)</w:t>
      </w:r>
      <w:r w:rsidR="0092720C" w:rsidRPr="00F6099D">
        <w:rPr>
          <w:rFonts w:cstheme="minorHAnsi"/>
          <w:highlight w:val="cyan"/>
        </w:rPr>
        <w:t xml:space="preserve">, αφού προηγήθηκε ανοιχτή </w:t>
      </w:r>
      <w:r w:rsidR="0092720C" w:rsidRPr="001D2B3F">
        <w:rPr>
          <w:rFonts w:cstheme="minorHAnsi"/>
          <w:highlight w:val="green"/>
        </w:rPr>
        <w:t xml:space="preserve">δημόσια διαβούλευση </w:t>
      </w:r>
      <w:r w:rsidR="0092720C" w:rsidRPr="00F6099D">
        <w:rPr>
          <w:rFonts w:cstheme="minorHAnsi"/>
          <w:highlight w:val="cyan"/>
        </w:rPr>
        <w:t xml:space="preserve">με τους παραγωγικούς </w:t>
      </w:r>
      <w:r w:rsidR="0092720C" w:rsidRPr="004D3E52">
        <w:rPr>
          <w:rFonts w:cstheme="minorHAnsi"/>
          <w:highlight w:val="cyan"/>
        </w:rPr>
        <w:t>φορείς για διάστημα</w:t>
      </w:r>
      <w:r w:rsidR="0092720C" w:rsidRPr="00E74341">
        <w:rPr>
          <w:rFonts w:cstheme="minorHAnsi"/>
        </w:rPr>
        <w:t xml:space="preserve"> </w:t>
      </w:r>
      <w:r w:rsidR="0092720C" w:rsidRPr="00E74341">
        <w:rPr>
          <w:rFonts w:cstheme="minorHAnsi"/>
          <w:highlight w:val="red"/>
        </w:rPr>
        <w:t>ενός μήνα</w:t>
      </w:r>
      <w:r w:rsidR="00286C93" w:rsidRPr="00E74341">
        <w:rPr>
          <w:rFonts w:cstheme="minorHAnsi"/>
        </w:rPr>
        <w:t>.</w:t>
      </w:r>
      <w:r w:rsidRPr="00E74341">
        <w:rPr>
          <w:rFonts w:cstheme="minorHAnsi"/>
        </w:rPr>
        <w:t xml:space="preserve"> </w:t>
      </w:r>
    </w:p>
    <w:p w:rsidR="00CF5BB3" w:rsidRDefault="00CF5BB3" w:rsidP="00CF5BB3">
      <w:pPr>
        <w:pStyle w:val="Web"/>
        <w:spacing w:before="0" w:beforeAutospacing="0" w:after="0" w:afterAutospacing="0" w:line="320" w:lineRule="atLeast"/>
        <w:rPr>
          <w:rFonts w:asciiTheme="minorHAnsi" w:hAnsiTheme="minorHAnsi" w:cstheme="minorHAnsi"/>
          <w:b/>
          <w:smallCaps/>
          <w:shadow/>
          <w:sz w:val="22"/>
          <w:szCs w:val="22"/>
          <w:highlight w:val="cyan"/>
        </w:rPr>
      </w:pPr>
    </w:p>
    <w:p w:rsidR="00CF5BB3" w:rsidRPr="007D4F78" w:rsidRDefault="00CF5BB3" w:rsidP="00CF5BB3">
      <w:pPr>
        <w:pStyle w:val="Web"/>
        <w:spacing w:before="0" w:beforeAutospacing="0" w:after="0" w:afterAutospacing="0" w:line="320" w:lineRule="atLeast"/>
        <w:rPr>
          <w:rFonts w:asciiTheme="minorHAnsi" w:hAnsiTheme="minorHAnsi" w:cstheme="minorHAnsi"/>
          <w:b/>
          <w:smallCaps/>
          <w:shadow/>
          <w:sz w:val="23"/>
          <w:szCs w:val="23"/>
          <w:highlight w:val="cyan"/>
        </w:rPr>
      </w:pPr>
      <w:r w:rsidRPr="007D4F78">
        <w:rPr>
          <w:rFonts w:asciiTheme="minorHAnsi" w:hAnsiTheme="minorHAnsi" w:cstheme="minorHAnsi"/>
          <w:b/>
          <w:smallCaps/>
          <w:shadow/>
          <w:sz w:val="23"/>
          <w:szCs w:val="23"/>
          <w:highlight w:val="cyan"/>
        </w:rPr>
        <w:t xml:space="preserve">Σκοπός – Στόχοι του Προγράμματος </w:t>
      </w:r>
    </w:p>
    <w:p w:rsidR="00EC01BA" w:rsidRPr="00CF5BB3" w:rsidRDefault="00CF5BB3" w:rsidP="0089060F">
      <w:pPr>
        <w:tabs>
          <w:tab w:val="left" w:pos="9214"/>
        </w:tabs>
        <w:autoSpaceDE w:val="0"/>
        <w:autoSpaceDN w:val="0"/>
        <w:adjustRightInd w:val="0"/>
        <w:spacing w:after="0" w:line="320" w:lineRule="atLeast"/>
        <w:jc w:val="both"/>
        <w:rPr>
          <w:rFonts w:cstheme="minorHAnsi"/>
          <w:highlight w:val="cyan"/>
        </w:rPr>
      </w:pPr>
      <w:r w:rsidRPr="00CF5BB3">
        <w:rPr>
          <w:rFonts w:cstheme="minorHAnsi"/>
          <w:highlight w:val="cyan"/>
        </w:rPr>
        <w:t>Το πρόγραμμα αποσκοπούσε στην π</w:t>
      </w:r>
      <w:r w:rsidR="00EC01BA" w:rsidRPr="00CF5BB3">
        <w:rPr>
          <w:rFonts w:cstheme="minorHAnsi"/>
          <w:highlight w:val="cyan"/>
        </w:rPr>
        <w:t>ρο</w:t>
      </w:r>
      <w:r w:rsidRPr="00CF5BB3">
        <w:rPr>
          <w:rFonts w:cstheme="minorHAnsi"/>
          <w:highlight w:val="cyan"/>
        </w:rPr>
        <w:t>ώθηση της</w:t>
      </w:r>
      <w:r w:rsidR="00EC01BA" w:rsidRPr="00CF5BB3">
        <w:rPr>
          <w:rFonts w:cstheme="minorHAnsi"/>
          <w:highlight w:val="cyan"/>
        </w:rPr>
        <w:t xml:space="preserve"> ενίσχυση</w:t>
      </w:r>
      <w:r w:rsidRPr="00CF5BB3">
        <w:rPr>
          <w:rFonts w:cstheme="minorHAnsi"/>
          <w:highlight w:val="cyan"/>
        </w:rPr>
        <w:t>ς</w:t>
      </w:r>
      <w:r w:rsidR="00EC01BA" w:rsidRPr="00CF5BB3">
        <w:rPr>
          <w:rFonts w:cstheme="minorHAnsi"/>
          <w:highlight w:val="cyan"/>
        </w:rPr>
        <w:t xml:space="preserve"> της εξωστρεφούς επιχειρηματικότητας, ως κεντρικής πολιτικής επιλογής για την αναβάθμιση της παραγωγικής βάσης της χώρας προς αγαθά και υπηρεσίες υψηλής προστιθέμενης αξίας.</w:t>
      </w:r>
    </w:p>
    <w:p w:rsidR="00EC01BA" w:rsidRPr="00424480" w:rsidRDefault="00CF5BB3" w:rsidP="0089060F">
      <w:pPr>
        <w:autoSpaceDE w:val="0"/>
        <w:autoSpaceDN w:val="0"/>
        <w:adjustRightInd w:val="0"/>
        <w:spacing w:after="0" w:line="320" w:lineRule="atLeast"/>
        <w:jc w:val="both"/>
        <w:rPr>
          <w:rFonts w:cstheme="minorHAnsi"/>
          <w:highlight w:val="cyan"/>
        </w:rPr>
      </w:pPr>
      <w:r w:rsidRPr="00CF5BB3">
        <w:rPr>
          <w:rFonts w:cstheme="minorHAnsi"/>
          <w:highlight w:val="cyan"/>
        </w:rPr>
        <w:t>Στόχος ήταν η ενίσχυση</w:t>
      </w:r>
      <w:r w:rsidR="00EC01BA" w:rsidRPr="00CF5BB3">
        <w:rPr>
          <w:rFonts w:cstheme="minorHAnsi"/>
          <w:highlight w:val="cyan"/>
        </w:rPr>
        <w:t xml:space="preserve"> και </w:t>
      </w:r>
      <w:r w:rsidRPr="00CF5BB3">
        <w:rPr>
          <w:rFonts w:cstheme="minorHAnsi"/>
          <w:highlight w:val="cyan"/>
        </w:rPr>
        <w:t>υποστήριξη</w:t>
      </w:r>
      <w:r w:rsidR="00EC01BA" w:rsidRPr="00CF5BB3">
        <w:rPr>
          <w:rFonts w:cstheme="minorHAnsi"/>
          <w:highlight w:val="cyan"/>
        </w:rPr>
        <w:t xml:space="preserve"> </w:t>
      </w:r>
      <w:r w:rsidRPr="00CF5BB3">
        <w:rPr>
          <w:rFonts w:cstheme="minorHAnsi"/>
          <w:highlight w:val="cyan"/>
        </w:rPr>
        <w:t>των</w:t>
      </w:r>
      <w:r w:rsidR="00EC01BA" w:rsidRPr="00CF5BB3">
        <w:rPr>
          <w:rFonts w:cstheme="minorHAnsi"/>
          <w:highlight w:val="cyan"/>
        </w:rPr>
        <w:t xml:space="preserve"> </w:t>
      </w:r>
      <w:r w:rsidRPr="00CF5BB3">
        <w:rPr>
          <w:rFonts w:cstheme="minorHAnsi"/>
          <w:highlight w:val="cyan"/>
        </w:rPr>
        <w:t>μικρομεσαίων</w:t>
      </w:r>
      <w:r w:rsidR="00EC01BA" w:rsidRPr="00CF5BB3">
        <w:rPr>
          <w:rFonts w:cstheme="minorHAnsi"/>
          <w:highlight w:val="cyan"/>
        </w:rPr>
        <w:t xml:space="preserve"> επιχειρήσ</w:t>
      </w:r>
      <w:r w:rsidRPr="00CF5BB3">
        <w:rPr>
          <w:rFonts w:cstheme="minorHAnsi"/>
          <w:highlight w:val="cyan"/>
        </w:rPr>
        <w:t>εων</w:t>
      </w:r>
      <w:r w:rsidR="00EC01BA" w:rsidRPr="00CF5BB3">
        <w:rPr>
          <w:rFonts w:cstheme="minorHAnsi"/>
          <w:highlight w:val="cyan"/>
        </w:rPr>
        <w:t xml:space="preserve"> και υπό προϋποθέσεις </w:t>
      </w:r>
      <w:r w:rsidRPr="00CF5BB3">
        <w:rPr>
          <w:rFonts w:cstheme="minorHAnsi"/>
          <w:highlight w:val="cyan"/>
        </w:rPr>
        <w:t>των μεγάλων</w:t>
      </w:r>
      <w:r w:rsidR="00EC01BA" w:rsidRPr="00CF5BB3">
        <w:rPr>
          <w:rFonts w:cstheme="minorHAnsi"/>
          <w:highlight w:val="cyan"/>
        </w:rPr>
        <w:t xml:space="preserve"> επιχειρήσε</w:t>
      </w:r>
      <w:r w:rsidRPr="00CF5BB3">
        <w:rPr>
          <w:rFonts w:cstheme="minorHAnsi"/>
          <w:highlight w:val="cyan"/>
        </w:rPr>
        <w:t>ων</w:t>
      </w:r>
      <w:r w:rsidR="00EC01BA" w:rsidRPr="00CF5BB3">
        <w:rPr>
          <w:rFonts w:cstheme="minorHAnsi"/>
          <w:highlight w:val="cyan"/>
        </w:rPr>
        <w:t>, που δραστηριοποιούνται στους κλάδους της μεταποίησης, των κατασκευών, των υπηρεσιών και επιλεγμένων κλάδων του εμπορίου για την έναρξη/συνέχιση της εξωστρεφούς ανταγωνιστικότητας και επιχειρηματικής τους δράσης</w:t>
      </w:r>
      <w:r w:rsidR="00EC01BA" w:rsidRPr="00424480">
        <w:rPr>
          <w:rFonts w:cstheme="minorHAnsi"/>
          <w:highlight w:val="cyan"/>
        </w:rPr>
        <w:t>.</w:t>
      </w:r>
      <w:r w:rsidR="00424480" w:rsidRPr="00424480">
        <w:rPr>
          <w:rFonts w:cstheme="minorHAnsi"/>
          <w:highlight w:val="cyan"/>
        </w:rPr>
        <w:t xml:space="preserve"> Οι μεγάλες και οι εμπορικές επιχειρήσεις είναι επιλέξιμες υπό την προϋπόθεση ότι εκτός από το δικό τους επενδυτικό σχέδιο θα συνεργαστούν σε εξωστρεφείς δραστηριότητες με τουλάχιστον δύο (2) πολύ μικρές, μικρές ή μεσαίες επιχειρήσεις και με τουλάχιστον μία (1) πολύ μικρή ή μεσαία επιχείρηση, οι εμπορικές επιχειρήσεις.</w:t>
      </w:r>
      <w:r w:rsidR="00424480" w:rsidRPr="00424480">
        <w:rPr>
          <w:rFonts w:ascii="TimesNewRoman" w:hAnsi="TimesNewRoman" w:cs="TimesNewRoman"/>
          <w:sz w:val="24"/>
          <w:szCs w:val="24"/>
          <w:highlight w:val="cyan"/>
        </w:rPr>
        <w:t xml:space="preserve"> </w:t>
      </w:r>
      <w:r w:rsidR="00424480" w:rsidRPr="00424480">
        <w:rPr>
          <w:rFonts w:cstheme="minorHAnsi"/>
          <w:highlight w:val="cyan"/>
        </w:rPr>
        <w:t>Υποστηρί</w:t>
      </w:r>
      <w:r w:rsidR="00584DE1">
        <w:rPr>
          <w:rFonts w:cstheme="minorHAnsi"/>
          <w:highlight w:val="cyan"/>
        </w:rPr>
        <w:t>χθηκαν</w:t>
      </w:r>
      <w:r w:rsidR="00424480" w:rsidRPr="00424480">
        <w:rPr>
          <w:rFonts w:cstheme="minorHAnsi"/>
          <w:highlight w:val="cyan"/>
        </w:rPr>
        <w:t xml:space="preserve"> και Ομάδες (τουλάχιστον τριών) Πολύ Μικρών, Μικρών και Μεσαίων επιχειρήσεων με επιπλέον επιχορήγηση υπό την προϋπόθεση ότι εκτός από το δικό τους διακριτό επενδυτικό σχέδιο, θα συνεργαστούν και μεταξύ τους με στόχο την ανάληψη εξωστρεφούς δραστηριότητας.</w:t>
      </w:r>
    </w:p>
    <w:p w:rsidR="00CF5BB3" w:rsidRPr="00CF5BB3" w:rsidRDefault="00CF5BB3" w:rsidP="0089060F">
      <w:pPr>
        <w:autoSpaceDE w:val="0"/>
        <w:autoSpaceDN w:val="0"/>
        <w:adjustRightInd w:val="0"/>
        <w:spacing w:after="0" w:line="320" w:lineRule="atLeast"/>
        <w:jc w:val="both"/>
        <w:rPr>
          <w:rFonts w:cstheme="minorHAnsi"/>
          <w:highlight w:val="cyan"/>
        </w:rPr>
      </w:pPr>
      <w:r w:rsidRPr="00CF5BB3">
        <w:rPr>
          <w:rFonts w:cstheme="minorHAnsi"/>
          <w:highlight w:val="cyan"/>
        </w:rPr>
        <w:t>Στο πρόγραμμα ενσωματώθηκαν καινοτομικά στοιχεία όπως, το δικαίωμα συμμετοχής - για πρώτη φορά - από ευρύ φάσμα οικονομικών δραστηριοτήτων - κατασκευές, χονδρεμπόριο, υπηρεσίες (</w:t>
      </w:r>
      <w:proofErr w:type="spellStart"/>
      <w:r w:rsidRPr="00CF5BB3">
        <w:rPr>
          <w:rFonts w:cstheme="minorHAnsi"/>
          <w:highlight w:val="cyan"/>
        </w:rPr>
        <w:t>π.χ</w:t>
      </w:r>
      <w:proofErr w:type="spellEnd"/>
      <w:r w:rsidRPr="00CF5BB3">
        <w:rPr>
          <w:rFonts w:cstheme="minorHAnsi"/>
          <w:highlight w:val="cyan"/>
        </w:rPr>
        <w:t xml:space="preserve"> υπηρεσίες υγείας) - η παροχή κινήτρων για τον σχεδιασμό και την ανάληψη κοινών ενεργειών εξωστρεφούς προσανατολισμού από τις επιχειρήσεις.</w:t>
      </w:r>
    </w:p>
    <w:p w:rsidR="00CF5BB3" w:rsidRPr="00CF5BB3" w:rsidRDefault="00CF5BB3" w:rsidP="0089060F">
      <w:pPr>
        <w:autoSpaceDE w:val="0"/>
        <w:autoSpaceDN w:val="0"/>
        <w:adjustRightInd w:val="0"/>
        <w:spacing w:after="0" w:line="320" w:lineRule="atLeast"/>
        <w:jc w:val="both"/>
        <w:rPr>
          <w:rFonts w:cstheme="minorHAnsi"/>
          <w:b/>
          <w:smallCaps/>
          <w:shadow/>
        </w:rPr>
      </w:pPr>
      <w:r w:rsidRPr="00CF5BB3">
        <w:rPr>
          <w:rFonts w:cstheme="minorHAnsi"/>
          <w:highlight w:val="cyan"/>
        </w:rPr>
        <w:t xml:space="preserve">Οι καινοτομίες στόχευαν όχι απλά την στήριξη των επιχειρήσεων, αλλά την αφετηρία ενός δυναμικού κινήματος εξωστρέφειας που θα αλλάξει τις αντιλήψεις του </w:t>
      </w:r>
      <w:proofErr w:type="spellStart"/>
      <w:r w:rsidRPr="00CF5BB3">
        <w:rPr>
          <w:rFonts w:cstheme="minorHAnsi"/>
          <w:highlight w:val="cyan"/>
        </w:rPr>
        <w:t>Επιχειρείν</w:t>
      </w:r>
      <w:proofErr w:type="spellEnd"/>
      <w:r w:rsidRPr="00CF5BB3">
        <w:rPr>
          <w:rFonts w:cstheme="minorHAnsi"/>
          <w:highlight w:val="cyan"/>
        </w:rPr>
        <w:t xml:space="preserve"> στη χώρα μας.</w:t>
      </w:r>
    </w:p>
    <w:p w:rsidR="00CF5BB3" w:rsidRDefault="00CF5BB3" w:rsidP="0089060F">
      <w:pPr>
        <w:pStyle w:val="Web"/>
        <w:spacing w:before="0" w:beforeAutospacing="0" w:after="0" w:afterAutospacing="0" w:line="320" w:lineRule="atLeast"/>
        <w:rPr>
          <w:rFonts w:asciiTheme="minorHAnsi" w:hAnsiTheme="minorHAnsi" w:cstheme="minorHAnsi"/>
          <w:b/>
          <w:smallCaps/>
          <w:shadow/>
          <w:sz w:val="22"/>
          <w:szCs w:val="22"/>
          <w:highlight w:val="cyan"/>
        </w:rPr>
      </w:pPr>
    </w:p>
    <w:p w:rsidR="00F20BE6" w:rsidRPr="007D4F78" w:rsidRDefault="00F20BE6" w:rsidP="00AF7BF1">
      <w:pPr>
        <w:pStyle w:val="Web"/>
        <w:spacing w:before="0" w:beforeAutospacing="0" w:after="0" w:afterAutospacing="0" w:line="320" w:lineRule="atLeast"/>
        <w:rPr>
          <w:rFonts w:asciiTheme="minorHAnsi" w:hAnsiTheme="minorHAnsi" w:cstheme="minorHAnsi"/>
          <w:b/>
          <w:smallCaps/>
          <w:shadow/>
          <w:sz w:val="23"/>
          <w:szCs w:val="23"/>
          <w:highlight w:val="cyan"/>
        </w:rPr>
      </w:pPr>
      <w:r w:rsidRPr="007D4F78">
        <w:rPr>
          <w:rFonts w:asciiTheme="minorHAnsi" w:hAnsiTheme="minorHAnsi" w:cstheme="minorHAnsi"/>
          <w:b/>
          <w:smallCaps/>
          <w:shadow/>
          <w:sz w:val="23"/>
          <w:szCs w:val="23"/>
          <w:highlight w:val="cyan"/>
        </w:rPr>
        <w:t>Προϋπολογισμός</w:t>
      </w:r>
    </w:p>
    <w:p w:rsidR="00F20BE6" w:rsidRPr="00355AA3" w:rsidRDefault="00F20BE6" w:rsidP="00AF7BF1">
      <w:pPr>
        <w:spacing w:after="0" w:line="320" w:lineRule="atLeast"/>
        <w:ind w:right="170"/>
        <w:jc w:val="both"/>
        <w:rPr>
          <w:rFonts w:cstheme="minorHAnsi"/>
          <w:highlight w:val="cyan"/>
        </w:rPr>
      </w:pPr>
      <w:r w:rsidRPr="00355AA3">
        <w:rPr>
          <w:rFonts w:cstheme="minorHAnsi"/>
          <w:highlight w:val="cyan"/>
        </w:rPr>
        <w:t xml:space="preserve">Το πρόγραμμα χρηματοδοτείται με το συνολικό ποσό Δημόσιας Δαπάνης ανερχόμενο μέχρι και τα </w:t>
      </w:r>
      <w:r w:rsidRPr="00355AA3">
        <w:rPr>
          <w:rFonts w:cstheme="minorHAnsi"/>
          <w:b/>
          <w:bCs/>
          <w:highlight w:val="cyan"/>
        </w:rPr>
        <w:t>45.000.000,00€</w:t>
      </w:r>
      <w:r w:rsidRPr="00355AA3">
        <w:rPr>
          <w:rFonts w:cstheme="minorHAnsi"/>
          <w:bCs/>
          <w:highlight w:val="cyan"/>
        </w:rPr>
        <w:t>.</w:t>
      </w:r>
      <w:r w:rsidRPr="00355AA3">
        <w:rPr>
          <w:rFonts w:cstheme="minorHAnsi"/>
          <w:highlight w:val="cyan"/>
        </w:rPr>
        <w:t xml:space="preserve"> το οποίο αντίστοιχα κατανέμεται ως εξής: </w:t>
      </w:r>
    </w:p>
    <w:p w:rsidR="00F20BE6" w:rsidRPr="00355AA3" w:rsidRDefault="00F20BE6" w:rsidP="00AF7BF1">
      <w:pPr>
        <w:numPr>
          <w:ilvl w:val="0"/>
          <w:numId w:val="16"/>
        </w:numPr>
        <w:tabs>
          <w:tab w:val="clear" w:pos="530"/>
          <w:tab w:val="num" w:pos="284"/>
        </w:tabs>
        <w:spacing w:after="0" w:line="320" w:lineRule="atLeast"/>
        <w:ind w:left="0" w:right="170" w:firstLine="0"/>
        <w:jc w:val="both"/>
        <w:rPr>
          <w:rFonts w:cstheme="minorHAnsi"/>
          <w:highlight w:val="cyan"/>
        </w:rPr>
      </w:pPr>
      <w:r w:rsidRPr="00355AA3">
        <w:rPr>
          <w:rFonts w:cstheme="minorHAnsi"/>
          <w:highlight w:val="cyan"/>
        </w:rPr>
        <w:t xml:space="preserve">κατά 50% για τα επιχειρηματικά σχέδια μεμονωμένα ή συνεργατικά που υποβάλλονται από υφιστάμενες πολύ μικρές και μικρές επιχειρήσεις, </w:t>
      </w:r>
    </w:p>
    <w:p w:rsidR="00F20BE6" w:rsidRPr="00355AA3" w:rsidRDefault="00F20BE6" w:rsidP="00AF7BF1">
      <w:pPr>
        <w:numPr>
          <w:ilvl w:val="0"/>
          <w:numId w:val="16"/>
        </w:numPr>
        <w:tabs>
          <w:tab w:val="clear" w:pos="530"/>
          <w:tab w:val="num" w:pos="284"/>
        </w:tabs>
        <w:spacing w:after="0" w:line="320" w:lineRule="atLeast"/>
        <w:ind w:left="0" w:right="170" w:firstLine="0"/>
        <w:jc w:val="both"/>
        <w:rPr>
          <w:rFonts w:cstheme="minorHAnsi"/>
          <w:highlight w:val="cyan"/>
        </w:rPr>
      </w:pPr>
      <w:r w:rsidRPr="00355AA3">
        <w:rPr>
          <w:rFonts w:cstheme="minorHAnsi"/>
          <w:highlight w:val="cyan"/>
        </w:rPr>
        <w:t xml:space="preserve">κατά 30% για τα επιχειρηματικά σχέδια, μεμονωμένα ή συνεργατικά που υποβάλλονται από υφιστάμενες μεσαίες επιχειρήσεις </w:t>
      </w:r>
    </w:p>
    <w:p w:rsidR="00F20BE6" w:rsidRPr="00355AA3" w:rsidRDefault="00F20BE6" w:rsidP="00AF7BF1">
      <w:pPr>
        <w:numPr>
          <w:ilvl w:val="0"/>
          <w:numId w:val="16"/>
        </w:numPr>
        <w:tabs>
          <w:tab w:val="clear" w:pos="530"/>
          <w:tab w:val="num" w:pos="284"/>
        </w:tabs>
        <w:spacing w:after="0" w:line="320" w:lineRule="atLeast"/>
        <w:ind w:left="0" w:right="170" w:firstLine="0"/>
        <w:jc w:val="both"/>
        <w:rPr>
          <w:rFonts w:cstheme="minorHAnsi"/>
          <w:highlight w:val="cyan"/>
        </w:rPr>
      </w:pPr>
      <w:r w:rsidRPr="00355AA3">
        <w:rPr>
          <w:rFonts w:cstheme="minorHAnsi"/>
          <w:highlight w:val="cyan"/>
        </w:rPr>
        <w:t xml:space="preserve">και 20% για τα επιχειρηματικά σχέδια, μεμονωμένα ή συνεργατικά που υποβάλλονται από μεγάλες επιχειρήσεις υπό τους όρους και τις προϋποθέσεις του παρόντος Προγράμματος. </w:t>
      </w:r>
    </w:p>
    <w:p w:rsidR="00F20BE6" w:rsidRPr="00355AA3" w:rsidRDefault="00F20BE6" w:rsidP="00AF7BF1">
      <w:pPr>
        <w:pStyle w:val="Web"/>
        <w:spacing w:before="0" w:beforeAutospacing="0" w:after="0" w:afterAutospacing="0" w:line="320" w:lineRule="atLeast"/>
        <w:rPr>
          <w:rFonts w:asciiTheme="minorHAnsi" w:hAnsiTheme="minorHAnsi" w:cstheme="minorHAnsi"/>
          <w:b/>
          <w:smallCaps/>
          <w:shadow/>
          <w:sz w:val="22"/>
          <w:szCs w:val="22"/>
          <w:highlight w:val="cyan"/>
        </w:rPr>
      </w:pPr>
    </w:p>
    <w:p w:rsidR="00F20BE6" w:rsidRPr="007D4F78" w:rsidRDefault="004255AC" w:rsidP="00AF7BF1">
      <w:pPr>
        <w:pStyle w:val="Web"/>
        <w:spacing w:before="0" w:beforeAutospacing="0" w:after="0" w:afterAutospacing="0" w:line="320" w:lineRule="atLeast"/>
        <w:rPr>
          <w:rFonts w:asciiTheme="minorHAnsi" w:hAnsiTheme="minorHAnsi" w:cstheme="minorHAnsi"/>
          <w:b/>
          <w:smallCaps/>
          <w:shadow/>
          <w:sz w:val="23"/>
          <w:szCs w:val="23"/>
          <w:highlight w:val="cyan"/>
        </w:rPr>
      </w:pPr>
      <w:r w:rsidRPr="007D4F78">
        <w:rPr>
          <w:rFonts w:asciiTheme="minorHAnsi" w:hAnsiTheme="minorHAnsi" w:cstheme="minorHAnsi"/>
          <w:b/>
          <w:smallCaps/>
          <w:shadow/>
          <w:sz w:val="23"/>
          <w:szCs w:val="23"/>
          <w:highlight w:val="cyan"/>
        </w:rPr>
        <w:t>Ε</w:t>
      </w:r>
      <w:r w:rsidR="00F20BE6" w:rsidRPr="007D4F78">
        <w:rPr>
          <w:rFonts w:asciiTheme="minorHAnsi" w:hAnsiTheme="minorHAnsi" w:cstheme="minorHAnsi"/>
          <w:b/>
          <w:smallCaps/>
          <w:shadow/>
          <w:sz w:val="23"/>
          <w:szCs w:val="23"/>
          <w:highlight w:val="cyan"/>
        </w:rPr>
        <w:t xml:space="preserve">ίδος </w:t>
      </w:r>
      <w:r w:rsidRPr="007D4F78">
        <w:rPr>
          <w:rFonts w:asciiTheme="minorHAnsi" w:hAnsiTheme="minorHAnsi" w:cstheme="minorHAnsi"/>
          <w:b/>
          <w:smallCaps/>
          <w:shadow/>
          <w:sz w:val="23"/>
          <w:szCs w:val="23"/>
          <w:highlight w:val="cyan"/>
        </w:rPr>
        <w:t>Ε</w:t>
      </w:r>
      <w:r w:rsidR="00F20BE6" w:rsidRPr="007D4F78">
        <w:rPr>
          <w:rFonts w:asciiTheme="minorHAnsi" w:hAnsiTheme="minorHAnsi" w:cstheme="minorHAnsi"/>
          <w:b/>
          <w:smallCaps/>
          <w:shadow/>
          <w:sz w:val="23"/>
          <w:szCs w:val="23"/>
          <w:highlight w:val="cyan"/>
        </w:rPr>
        <w:t>νίσχυσης</w:t>
      </w:r>
    </w:p>
    <w:p w:rsidR="00F20BE6" w:rsidRPr="00355AA3" w:rsidRDefault="00F20BE6" w:rsidP="00AF7BF1">
      <w:pPr>
        <w:spacing w:after="0" w:line="320" w:lineRule="atLeast"/>
        <w:jc w:val="both"/>
        <w:rPr>
          <w:rFonts w:cstheme="minorHAnsi"/>
          <w:highlight w:val="cyan"/>
        </w:rPr>
      </w:pPr>
      <w:r w:rsidRPr="00355AA3">
        <w:rPr>
          <w:rFonts w:cstheme="minorHAnsi"/>
          <w:highlight w:val="cyan"/>
        </w:rPr>
        <w:t>Τα παρεχόμενα από το Πρόγραμμα κίνητρα έχουν την μορφή χρηματοδοτικών ενισχύσεων για την υλοποίηση συγκεκριμένων επιχειρηματικών σχεδίων. Η χρηματοδότηση, μετά την ολοκλήρωση του έργου, αφορά μη επιστρεπτέες επιχορηγήσεις επιλέξιμων δαπανών.</w:t>
      </w:r>
    </w:p>
    <w:p w:rsidR="00C4132F" w:rsidRDefault="00C4132F" w:rsidP="00AF7BF1">
      <w:pPr>
        <w:pStyle w:val="Web"/>
        <w:spacing w:before="0" w:beforeAutospacing="0" w:after="0" w:afterAutospacing="0" w:line="320" w:lineRule="atLeast"/>
        <w:rPr>
          <w:rFonts w:asciiTheme="minorHAnsi" w:hAnsiTheme="minorHAnsi" w:cstheme="minorHAnsi"/>
          <w:b/>
          <w:smallCaps/>
          <w:shadow/>
          <w:sz w:val="22"/>
          <w:szCs w:val="22"/>
          <w:highlight w:val="cyan"/>
        </w:rPr>
      </w:pPr>
    </w:p>
    <w:p w:rsidR="00F20BE6" w:rsidRPr="007D4F78" w:rsidRDefault="00F20BE6" w:rsidP="00AF7BF1">
      <w:pPr>
        <w:pStyle w:val="Web"/>
        <w:spacing w:before="0" w:beforeAutospacing="0" w:after="0" w:afterAutospacing="0" w:line="320" w:lineRule="atLeast"/>
        <w:rPr>
          <w:rFonts w:asciiTheme="minorHAnsi" w:hAnsiTheme="minorHAnsi" w:cstheme="minorHAnsi"/>
          <w:b/>
          <w:smallCaps/>
          <w:shadow/>
          <w:sz w:val="23"/>
          <w:szCs w:val="23"/>
          <w:highlight w:val="cyan"/>
        </w:rPr>
      </w:pPr>
      <w:r w:rsidRPr="007D4F78">
        <w:rPr>
          <w:rFonts w:asciiTheme="minorHAnsi" w:hAnsiTheme="minorHAnsi" w:cstheme="minorHAnsi"/>
          <w:b/>
          <w:smallCaps/>
          <w:shadow/>
          <w:sz w:val="23"/>
          <w:szCs w:val="23"/>
          <w:highlight w:val="cyan"/>
        </w:rPr>
        <w:t>Χρηματοδοτικό Πλαίσιο</w:t>
      </w:r>
    </w:p>
    <w:p w:rsidR="00F20BE6" w:rsidRPr="00355AA3" w:rsidRDefault="00F20BE6" w:rsidP="000607C0">
      <w:pPr>
        <w:numPr>
          <w:ilvl w:val="0"/>
          <w:numId w:val="17"/>
        </w:numPr>
        <w:tabs>
          <w:tab w:val="clear" w:pos="720"/>
          <w:tab w:val="num" w:pos="284"/>
        </w:tabs>
        <w:spacing w:after="0" w:line="320" w:lineRule="atLeast"/>
        <w:ind w:left="0" w:firstLine="0"/>
        <w:jc w:val="both"/>
        <w:rPr>
          <w:rFonts w:cstheme="minorHAnsi"/>
          <w:highlight w:val="cyan"/>
        </w:rPr>
      </w:pPr>
      <w:r w:rsidRPr="00355AA3">
        <w:rPr>
          <w:rFonts w:cstheme="minorHAnsi"/>
          <w:b/>
          <w:highlight w:val="cyan"/>
        </w:rPr>
        <w:t>Γενικός Απαλλακτικός Κανονισμός</w:t>
      </w:r>
      <w:r w:rsidRPr="00355AA3">
        <w:rPr>
          <w:rFonts w:cstheme="minorHAnsi"/>
          <w:highlight w:val="cyan"/>
        </w:rPr>
        <w:t xml:space="preserve"> (ΓΑΚ) για τις </w:t>
      </w:r>
      <w:proofErr w:type="spellStart"/>
      <w:r w:rsidRPr="00355AA3">
        <w:rPr>
          <w:rFonts w:cstheme="minorHAnsi"/>
          <w:highlight w:val="cyan"/>
        </w:rPr>
        <w:t>παγιοποιήσιμες</w:t>
      </w:r>
      <w:proofErr w:type="spellEnd"/>
      <w:r w:rsidRPr="00355AA3">
        <w:rPr>
          <w:rFonts w:cstheme="minorHAnsi"/>
          <w:highlight w:val="cyan"/>
        </w:rPr>
        <w:t xml:space="preserve"> δαπάνες και </w:t>
      </w:r>
    </w:p>
    <w:p w:rsidR="00C33ACC" w:rsidRDefault="00F20BE6" w:rsidP="000607C0">
      <w:pPr>
        <w:numPr>
          <w:ilvl w:val="0"/>
          <w:numId w:val="17"/>
        </w:numPr>
        <w:tabs>
          <w:tab w:val="clear" w:pos="720"/>
          <w:tab w:val="num" w:pos="284"/>
        </w:tabs>
        <w:spacing w:after="0" w:line="320" w:lineRule="atLeast"/>
        <w:ind w:left="0" w:firstLine="0"/>
        <w:jc w:val="both"/>
        <w:rPr>
          <w:rFonts w:cstheme="minorHAnsi"/>
          <w:highlight w:val="cyan"/>
        </w:rPr>
      </w:pPr>
      <w:r w:rsidRPr="00355AA3">
        <w:rPr>
          <w:rFonts w:cstheme="minorHAnsi"/>
          <w:b/>
          <w:highlight w:val="cyan"/>
          <w:lang w:val="en-US"/>
        </w:rPr>
        <w:t>De</w:t>
      </w:r>
      <w:r w:rsidRPr="00355AA3">
        <w:rPr>
          <w:rFonts w:cstheme="minorHAnsi"/>
          <w:b/>
          <w:highlight w:val="cyan"/>
        </w:rPr>
        <w:t xml:space="preserve"> </w:t>
      </w:r>
      <w:r w:rsidRPr="00355AA3">
        <w:rPr>
          <w:rFonts w:cstheme="minorHAnsi"/>
          <w:b/>
          <w:highlight w:val="cyan"/>
          <w:lang w:val="en-US"/>
        </w:rPr>
        <w:t>Mini</w:t>
      </w:r>
      <w:r w:rsidR="00604520" w:rsidRPr="00604520">
        <w:rPr>
          <w:rFonts w:cstheme="minorHAnsi"/>
          <w:b/>
          <w:highlight w:val="cyan"/>
        </w:rPr>
        <w:t xml:space="preserve"> </w:t>
      </w:r>
      <w:proofErr w:type="spellStart"/>
      <w:r w:rsidRPr="00355AA3">
        <w:rPr>
          <w:rFonts w:cstheme="minorHAnsi"/>
          <w:b/>
          <w:highlight w:val="cyan"/>
          <w:lang w:val="en-US"/>
        </w:rPr>
        <w:t>mis</w:t>
      </w:r>
      <w:proofErr w:type="spellEnd"/>
      <w:r w:rsidRPr="00355AA3">
        <w:rPr>
          <w:rFonts w:cstheme="minorHAnsi"/>
          <w:b/>
          <w:highlight w:val="cyan"/>
        </w:rPr>
        <w:t xml:space="preserve"> </w:t>
      </w:r>
      <w:r w:rsidRPr="00355AA3">
        <w:rPr>
          <w:rFonts w:cstheme="minorHAnsi"/>
          <w:highlight w:val="cyan"/>
        </w:rPr>
        <w:t xml:space="preserve">ένεκα της φύσεως και του χαρακτήρα των ενισχυόμενων μη </w:t>
      </w:r>
      <w:proofErr w:type="spellStart"/>
      <w:r w:rsidRPr="00355AA3">
        <w:rPr>
          <w:rFonts w:cstheme="minorHAnsi"/>
          <w:highlight w:val="cyan"/>
        </w:rPr>
        <w:t>παγιοποιήσιμων</w:t>
      </w:r>
      <w:proofErr w:type="spellEnd"/>
      <w:r w:rsidRPr="00355AA3">
        <w:rPr>
          <w:rFonts w:cstheme="minorHAnsi"/>
          <w:highlight w:val="cyan"/>
        </w:rPr>
        <w:t xml:space="preserve"> δαπανών</w:t>
      </w:r>
    </w:p>
    <w:p w:rsidR="00F20BE6" w:rsidRPr="00355AA3" w:rsidRDefault="00C33ACC" w:rsidP="00C33ACC">
      <w:pPr>
        <w:spacing w:after="0" w:line="320" w:lineRule="atLeast"/>
        <w:jc w:val="both"/>
        <w:rPr>
          <w:rFonts w:cstheme="minorHAnsi"/>
          <w:highlight w:val="cyan"/>
        </w:rPr>
      </w:pPr>
      <w:r>
        <w:rPr>
          <w:rFonts w:cstheme="minorHAnsi"/>
          <w:b/>
          <w:highlight w:val="cyan"/>
        </w:rPr>
        <w:t xml:space="preserve">   </w:t>
      </w:r>
      <w:r w:rsidR="00F20BE6" w:rsidRPr="00355AA3">
        <w:rPr>
          <w:rFonts w:cstheme="minorHAnsi"/>
          <w:highlight w:val="cyan"/>
        </w:rPr>
        <w:t xml:space="preserve"> </w:t>
      </w:r>
      <w:r>
        <w:rPr>
          <w:rFonts w:cstheme="minorHAnsi"/>
          <w:highlight w:val="cyan"/>
        </w:rPr>
        <w:t xml:space="preserve"> </w:t>
      </w:r>
      <w:r w:rsidR="00F20BE6" w:rsidRPr="00355AA3">
        <w:rPr>
          <w:rFonts w:cstheme="minorHAnsi"/>
          <w:highlight w:val="cyan"/>
        </w:rPr>
        <w:t xml:space="preserve">(άυλες δαπάνες). </w:t>
      </w:r>
    </w:p>
    <w:p w:rsidR="003A6A5E" w:rsidRDefault="003A6A5E" w:rsidP="00AF7BF1">
      <w:pPr>
        <w:pStyle w:val="Web"/>
        <w:spacing w:before="0" w:beforeAutospacing="0" w:after="0" w:afterAutospacing="0" w:line="320" w:lineRule="atLeast"/>
        <w:rPr>
          <w:rFonts w:asciiTheme="minorHAnsi" w:hAnsiTheme="minorHAnsi" w:cstheme="minorHAnsi"/>
          <w:b/>
          <w:smallCaps/>
          <w:shadow/>
          <w:sz w:val="22"/>
          <w:szCs w:val="22"/>
        </w:rPr>
      </w:pPr>
    </w:p>
    <w:p w:rsidR="00F20BE6" w:rsidRPr="007D4F78" w:rsidRDefault="007D4F78" w:rsidP="00AF7BF1">
      <w:pPr>
        <w:pStyle w:val="Web"/>
        <w:spacing w:before="0" w:beforeAutospacing="0" w:after="0" w:afterAutospacing="0" w:line="320" w:lineRule="atLeast"/>
        <w:rPr>
          <w:rFonts w:asciiTheme="minorHAnsi" w:hAnsiTheme="minorHAnsi" w:cstheme="minorHAnsi"/>
          <w:b/>
          <w:smallCaps/>
          <w:shadow/>
          <w:sz w:val="23"/>
          <w:szCs w:val="23"/>
        </w:rPr>
      </w:pPr>
      <w:r>
        <w:rPr>
          <w:rFonts w:asciiTheme="minorHAnsi" w:hAnsiTheme="minorHAnsi" w:cstheme="minorHAnsi"/>
          <w:b/>
          <w:smallCaps/>
          <w:shadow/>
          <w:sz w:val="23"/>
          <w:szCs w:val="23"/>
          <w:highlight w:val="cyan"/>
        </w:rPr>
        <w:t xml:space="preserve">Επιλέξιμοι </w:t>
      </w:r>
      <w:r w:rsidR="00F20BE6" w:rsidRPr="007D4F78">
        <w:rPr>
          <w:rFonts w:asciiTheme="minorHAnsi" w:hAnsiTheme="minorHAnsi" w:cstheme="minorHAnsi"/>
          <w:b/>
          <w:smallCaps/>
          <w:shadow/>
          <w:sz w:val="23"/>
          <w:szCs w:val="23"/>
          <w:highlight w:val="cyan"/>
        </w:rPr>
        <w:t>Δικαιούχοι</w:t>
      </w:r>
    </w:p>
    <w:p w:rsidR="00F20BE6" w:rsidRPr="00355AA3" w:rsidRDefault="00F20BE6" w:rsidP="00AF7BF1">
      <w:pPr>
        <w:spacing w:after="0" w:line="320" w:lineRule="atLeast"/>
        <w:ind w:right="170"/>
        <w:jc w:val="both"/>
        <w:rPr>
          <w:rFonts w:cstheme="minorHAnsi"/>
          <w:highlight w:val="cyan"/>
        </w:rPr>
      </w:pPr>
      <w:r w:rsidRPr="00355AA3">
        <w:rPr>
          <w:rFonts w:cstheme="minorHAnsi"/>
          <w:highlight w:val="cyan"/>
        </w:rPr>
        <w:t xml:space="preserve">Επιλέξιμες για ένταξη στο πρόγραμμα ήταν </w:t>
      </w:r>
      <w:r w:rsidRPr="00355AA3">
        <w:rPr>
          <w:rFonts w:ascii="Calibri" w:eastAsia="Calibri" w:hAnsi="Calibri" w:cs="Calibri"/>
          <w:color w:val="000000"/>
          <w:highlight w:val="cyan"/>
          <w:shd w:val="clear" w:color="auto" w:fill="FFFFFF"/>
        </w:rPr>
        <w:t>οι πολύ μικρές, μικρές και μεσ</w:t>
      </w:r>
      <w:r w:rsidRPr="00355AA3">
        <w:rPr>
          <w:rFonts w:cstheme="minorHAnsi"/>
          <w:color w:val="000000"/>
          <w:highlight w:val="cyan"/>
          <w:shd w:val="clear" w:color="auto" w:fill="FFFFFF"/>
        </w:rPr>
        <w:t xml:space="preserve">αίες μεταποιητικές επιχειρήσεις, οι </w:t>
      </w:r>
      <w:r w:rsidRPr="00355AA3">
        <w:rPr>
          <w:rFonts w:ascii="Calibri" w:eastAsia="Calibri" w:hAnsi="Calibri" w:cs="Calibri"/>
          <w:color w:val="000000"/>
          <w:highlight w:val="cyan"/>
          <w:shd w:val="clear" w:color="auto" w:fill="FFFFFF"/>
        </w:rPr>
        <w:t>υπό προϋποθέσει</w:t>
      </w:r>
      <w:r w:rsidRPr="00355AA3">
        <w:rPr>
          <w:rFonts w:cstheme="minorHAnsi"/>
          <w:color w:val="000000"/>
          <w:highlight w:val="cyan"/>
          <w:shd w:val="clear" w:color="auto" w:fill="FFFFFF"/>
        </w:rPr>
        <w:t xml:space="preserve">ς </w:t>
      </w:r>
      <w:r w:rsidRPr="00355AA3">
        <w:rPr>
          <w:rFonts w:ascii="Calibri" w:eastAsia="Calibri" w:hAnsi="Calibri" w:cs="Calibri"/>
          <w:color w:val="000000"/>
          <w:highlight w:val="cyan"/>
          <w:shd w:val="clear" w:color="auto" w:fill="FFFFFF"/>
        </w:rPr>
        <w:t xml:space="preserve">μεγάλες </w:t>
      </w:r>
      <w:r w:rsidRPr="00355AA3">
        <w:rPr>
          <w:rFonts w:cstheme="minorHAnsi"/>
          <w:color w:val="000000"/>
          <w:highlight w:val="cyan"/>
          <w:shd w:val="clear" w:color="auto" w:fill="FFFFFF"/>
        </w:rPr>
        <w:t xml:space="preserve">για την υλοποίηση επενδυτικών σχεδίων σε συνεργατικά σχήματα, καθώς </w:t>
      </w:r>
      <w:r w:rsidRPr="00355AA3">
        <w:rPr>
          <w:rFonts w:ascii="Calibri" w:eastAsia="Calibri" w:hAnsi="Calibri" w:cs="Calibri"/>
          <w:color w:val="000000"/>
          <w:highlight w:val="cyan"/>
          <w:shd w:val="clear" w:color="auto" w:fill="FFFFFF"/>
        </w:rPr>
        <w:t>και οι εμπορικές επιχειρήσεις</w:t>
      </w:r>
      <w:r w:rsidRPr="00355AA3">
        <w:rPr>
          <w:rFonts w:cstheme="minorHAnsi"/>
          <w:highlight w:val="cyan"/>
        </w:rPr>
        <w:t xml:space="preserve"> που ανήκαν στους επιλέξιμους ΚΑΔ.</w:t>
      </w:r>
    </w:p>
    <w:p w:rsidR="00F20BE6" w:rsidRPr="00355AA3" w:rsidRDefault="00F20BE6" w:rsidP="00AF7BF1">
      <w:pPr>
        <w:numPr>
          <w:ilvl w:val="0"/>
          <w:numId w:val="18"/>
        </w:numPr>
        <w:tabs>
          <w:tab w:val="clear" w:pos="720"/>
          <w:tab w:val="num" w:pos="426"/>
        </w:tabs>
        <w:spacing w:after="0" w:line="320" w:lineRule="atLeast"/>
        <w:ind w:left="0" w:firstLine="0"/>
        <w:jc w:val="both"/>
        <w:rPr>
          <w:rFonts w:cstheme="minorHAnsi"/>
          <w:highlight w:val="cyan"/>
        </w:rPr>
      </w:pPr>
      <w:r w:rsidRPr="00355AA3">
        <w:rPr>
          <w:rFonts w:cstheme="minorHAnsi"/>
          <w:highlight w:val="cyan"/>
        </w:rPr>
        <w:t>Υφιστάμενες Μικρομεσαίες Επιχειρήσεις που έχουν κλείσει τουλάχιστον δύο διαχειριστικές χρήσεις καθώς και υφιστάμενες μεγάλες επιχειρήσεις υπό τον όρο ουσιαστικής συνεργασίας με τουλάχιστον δύο μικρομεσαίες επιχειρήσεις.</w:t>
      </w:r>
    </w:p>
    <w:p w:rsidR="00F20BE6" w:rsidRPr="00355AA3" w:rsidRDefault="00F20BE6" w:rsidP="00AF7BF1">
      <w:pPr>
        <w:numPr>
          <w:ilvl w:val="0"/>
          <w:numId w:val="18"/>
        </w:numPr>
        <w:tabs>
          <w:tab w:val="clear" w:pos="720"/>
          <w:tab w:val="num" w:pos="426"/>
        </w:tabs>
        <w:spacing w:after="0" w:line="320" w:lineRule="atLeast"/>
        <w:ind w:left="0" w:firstLine="0"/>
        <w:jc w:val="both"/>
        <w:rPr>
          <w:rFonts w:cstheme="minorHAnsi"/>
          <w:highlight w:val="cyan"/>
        </w:rPr>
      </w:pPr>
      <w:r w:rsidRPr="00355AA3">
        <w:rPr>
          <w:rFonts w:cstheme="minorHAnsi"/>
          <w:highlight w:val="cyan"/>
        </w:rPr>
        <w:t xml:space="preserve">Υφιστάμενες μικρομεσαίες εμπορικές επιχειρήσεις υπό το όρο ουσιαστικής συνεργασίας με τουλάχιστον δύο μικρομεσαίες μεταποιητικές επιχειρήσεις. </w:t>
      </w:r>
    </w:p>
    <w:p w:rsidR="00F20BE6" w:rsidRPr="00355AA3" w:rsidRDefault="00F20BE6" w:rsidP="00AF7BF1">
      <w:pPr>
        <w:numPr>
          <w:ilvl w:val="0"/>
          <w:numId w:val="18"/>
        </w:numPr>
        <w:tabs>
          <w:tab w:val="clear" w:pos="720"/>
          <w:tab w:val="num" w:pos="426"/>
        </w:tabs>
        <w:spacing w:after="0" w:line="320" w:lineRule="atLeast"/>
        <w:ind w:left="0" w:firstLine="0"/>
        <w:jc w:val="both"/>
        <w:rPr>
          <w:rFonts w:cstheme="minorHAnsi"/>
          <w:highlight w:val="cyan"/>
        </w:rPr>
      </w:pPr>
      <w:r w:rsidRPr="00355AA3">
        <w:rPr>
          <w:rFonts w:cstheme="minorHAnsi"/>
          <w:highlight w:val="cyan"/>
        </w:rPr>
        <w:t>Φυσικά πρόσωπα που ενδιαφέρονται να δραστηριοποιηθούν επιχειρηματικά στις επιλέξιμες δραστηριότητες ανεξαρτήτως υπάρχουσας ή μη επιχειρηματικής εμπειρίας ή δραστηριότητας.</w:t>
      </w:r>
    </w:p>
    <w:p w:rsidR="00F20BE6" w:rsidRPr="00B143E0" w:rsidRDefault="00F20BE6" w:rsidP="00AF7BF1">
      <w:pPr>
        <w:pStyle w:val="Web"/>
        <w:spacing w:before="0" w:beforeAutospacing="0" w:after="0" w:afterAutospacing="0" w:line="320" w:lineRule="atLeast"/>
        <w:rPr>
          <w:rFonts w:asciiTheme="minorHAnsi" w:hAnsiTheme="minorHAnsi" w:cstheme="minorHAnsi"/>
          <w:b/>
          <w:smallCaps/>
          <w:shadow/>
          <w:sz w:val="22"/>
          <w:szCs w:val="22"/>
        </w:rPr>
      </w:pPr>
    </w:p>
    <w:p w:rsidR="00F20BE6" w:rsidRPr="007D4F78" w:rsidRDefault="00F20BE6" w:rsidP="00AF7BF1">
      <w:pPr>
        <w:pStyle w:val="Web"/>
        <w:spacing w:before="0" w:beforeAutospacing="0" w:after="0" w:afterAutospacing="0" w:line="320" w:lineRule="atLeast"/>
        <w:rPr>
          <w:rFonts w:asciiTheme="minorHAnsi" w:hAnsiTheme="minorHAnsi" w:cstheme="minorHAnsi"/>
          <w:b/>
          <w:smallCaps/>
          <w:shadow/>
          <w:sz w:val="23"/>
          <w:szCs w:val="23"/>
          <w:highlight w:val="cyan"/>
        </w:rPr>
      </w:pPr>
      <w:r w:rsidRPr="007D4F78">
        <w:rPr>
          <w:rFonts w:asciiTheme="minorHAnsi" w:hAnsiTheme="minorHAnsi" w:cstheme="minorHAnsi"/>
          <w:b/>
          <w:smallCaps/>
          <w:shadow/>
          <w:sz w:val="23"/>
          <w:szCs w:val="23"/>
          <w:highlight w:val="cyan"/>
        </w:rPr>
        <w:t xml:space="preserve">Επιλέξιμες Οικονομικές Δραστηριότητες (ΚΑΔ) </w:t>
      </w:r>
    </w:p>
    <w:p w:rsidR="00F20BE6" w:rsidRPr="00355AA3" w:rsidRDefault="00F20BE6" w:rsidP="00AF7BF1">
      <w:pPr>
        <w:spacing w:line="320" w:lineRule="atLeast"/>
        <w:jc w:val="both"/>
        <w:rPr>
          <w:rFonts w:cstheme="minorHAnsi"/>
          <w:highlight w:val="cyan"/>
        </w:rPr>
      </w:pPr>
      <w:r w:rsidRPr="00355AA3">
        <w:rPr>
          <w:rFonts w:cstheme="minorHAnsi"/>
          <w:highlight w:val="cyan"/>
        </w:rPr>
        <w:t xml:space="preserve">Επιλέξιμες είναι κατά κύριο λόγο οι υφιστάμενες ή υπό δημιουργία μεταποιητικές δραστηριότητες, οι δραστηριότητες επιχειρηματικής αξιοποίησης του περιβάλλοντος και οι επιλεγμένες δραστηριότητες (υφιστάμενες ή υπό δημιουργία) παροχής υπηρεσιών. </w:t>
      </w:r>
    </w:p>
    <w:p w:rsidR="00F20BE6" w:rsidRPr="007D4F78" w:rsidRDefault="00F20BE6" w:rsidP="00AF7BF1">
      <w:pPr>
        <w:spacing w:after="0" w:line="320" w:lineRule="atLeast"/>
        <w:jc w:val="both"/>
        <w:rPr>
          <w:rFonts w:cstheme="minorHAnsi"/>
          <w:sz w:val="23"/>
          <w:szCs w:val="23"/>
          <w:highlight w:val="cyan"/>
        </w:rPr>
      </w:pPr>
      <w:r w:rsidRPr="007D4F78">
        <w:rPr>
          <w:rFonts w:cstheme="minorHAnsi"/>
          <w:b/>
          <w:smallCaps/>
          <w:shadow/>
          <w:sz w:val="23"/>
          <w:szCs w:val="23"/>
          <w:highlight w:val="cyan"/>
        </w:rPr>
        <w:t xml:space="preserve">Επιλέξιμες </w:t>
      </w:r>
      <w:r w:rsidR="00CE62E2" w:rsidRPr="007D4F78">
        <w:rPr>
          <w:rFonts w:cstheme="minorHAnsi"/>
          <w:b/>
          <w:smallCaps/>
          <w:shadow/>
          <w:sz w:val="23"/>
          <w:szCs w:val="23"/>
          <w:highlight w:val="cyan"/>
        </w:rPr>
        <w:t>Δαπάνες</w:t>
      </w:r>
      <w:r w:rsidR="00C4132F" w:rsidRPr="007D4F78">
        <w:rPr>
          <w:rFonts w:cstheme="minorHAnsi"/>
          <w:b/>
          <w:smallCaps/>
          <w:shadow/>
          <w:sz w:val="23"/>
          <w:szCs w:val="23"/>
          <w:highlight w:val="cyan"/>
        </w:rPr>
        <w:t xml:space="preserve"> – Ποσοστά ενίσχυσης Δημόσιας Χρηματοδότησης</w:t>
      </w:r>
    </w:p>
    <w:p w:rsidR="004071C8" w:rsidRPr="004071C8" w:rsidRDefault="00F20BE6" w:rsidP="004071C8">
      <w:pPr>
        <w:pStyle w:val="Web"/>
        <w:spacing w:before="0" w:beforeAutospacing="0" w:after="0" w:afterAutospacing="0" w:line="320" w:lineRule="atLeast"/>
        <w:jc w:val="both"/>
        <w:rPr>
          <w:rFonts w:asciiTheme="minorHAnsi" w:hAnsiTheme="minorHAnsi" w:cstheme="minorHAnsi"/>
          <w:sz w:val="22"/>
          <w:szCs w:val="22"/>
          <w:highlight w:val="cyan"/>
        </w:rPr>
      </w:pPr>
      <w:r w:rsidRPr="00CE62E2">
        <w:rPr>
          <w:rFonts w:asciiTheme="minorHAnsi" w:hAnsiTheme="minorHAnsi" w:cstheme="minorHAnsi"/>
          <w:sz w:val="22"/>
          <w:szCs w:val="22"/>
          <w:highlight w:val="cyan"/>
        </w:rPr>
        <w:t xml:space="preserve">Για την ένταξη στο πρόγραμμα απαιτείτο η υποβολή ολοκληρωμένου </w:t>
      </w:r>
      <w:r w:rsidRPr="004071C8">
        <w:rPr>
          <w:rFonts w:asciiTheme="minorHAnsi" w:hAnsiTheme="minorHAnsi" w:cstheme="minorHAnsi"/>
          <w:sz w:val="22"/>
          <w:szCs w:val="22"/>
          <w:highlight w:val="cyan"/>
        </w:rPr>
        <w:t>επενδυτικού σχεδίου με οκτώ (</w:t>
      </w:r>
      <w:r w:rsidR="008466DB" w:rsidRPr="004071C8">
        <w:rPr>
          <w:rFonts w:asciiTheme="minorHAnsi" w:hAnsiTheme="minorHAnsi" w:cstheme="minorHAnsi"/>
          <w:sz w:val="22"/>
          <w:szCs w:val="22"/>
          <w:highlight w:val="cyan"/>
        </w:rPr>
        <w:t>7</w:t>
      </w:r>
      <w:r w:rsidR="004071C8" w:rsidRPr="004071C8">
        <w:rPr>
          <w:rFonts w:asciiTheme="minorHAnsi" w:hAnsiTheme="minorHAnsi" w:cstheme="minorHAnsi"/>
          <w:sz w:val="22"/>
          <w:szCs w:val="22"/>
          <w:highlight w:val="cyan"/>
        </w:rPr>
        <w:t>) διακριτές κατηγορίες δαπανών</w:t>
      </w:r>
      <w:r w:rsidR="004071C8">
        <w:rPr>
          <w:rFonts w:asciiTheme="minorHAnsi" w:hAnsiTheme="minorHAnsi" w:cstheme="minorHAnsi"/>
          <w:sz w:val="22"/>
          <w:szCs w:val="22"/>
          <w:highlight w:val="cyan"/>
        </w:rPr>
        <w:t>, μέσω των οποίων κ</w:t>
      </w:r>
      <w:r w:rsidR="004071C8" w:rsidRPr="004071C8">
        <w:rPr>
          <w:rFonts w:asciiTheme="minorHAnsi" w:hAnsiTheme="minorHAnsi" w:cstheme="minorHAnsi"/>
          <w:sz w:val="22"/>
          <w:szCs w:val="22"/>
          <w:highlight w:val="cyan"/>
        </w:rPr>
        <w:t xml:space="preserve">αλύπτεται ένα ευρύ φάσμα ενεργειών, όπως: </w:t>
      </w:r>
      <w:r w:rsidRPr="004071C8">
        <w:rPr>
          <w:rFonts w:asciiTheme="minorHAnsi" w:hAnsiTheme="minorHAnsi" w:cstheme="minorHAnsi"/>
          <w:sz w:val="22"/>
          <w:szCs w:val="22"/>
          <w:highlight w:val="cyan"/>
        </w:rPr>
        <w:t xml:space="preserve"> </w:t>
      </w:r>
    </w:p>
    <w:p w:rsidR="003E60A3" w:rsidRDefault="004071C8" w:rsidP="003E60A3">
      <w:pPr>
        <w:pStyle w:val="a3"/>
        <w:numPr>
          <w:ilvl w:val="0"/>
          <w:numId w:val="19"/>
        </w:numPr>
        <w:tabs>
          <w:tab w:val="num" w:pos="284"/>
        </w:tabs>
        <w:autoSpaceDE w:val="0"/>
        <w:autoSpaceDN w:val="0"/>
        <w:adjustRightInd w:val="0"/>
        <w:spacing w:after="0" w:line="320" w:lineRule="atLeast"/>
        <w:ind w:left="284" w:hanging="284"/>
        <w:rPr>
          <w:rFonts w:cstheme="minorHAnsi"/>
          <w:highlight w:val="cyan"/>
        </w:rPr>
      </w:pPr>
      <w:r w:rsidRPr="003E60A3">
        <w:rPr>
          <w:rFonts w:cstheme="minorHAnsi"/>
          <w:highlight w:val="cyan"/>
        </w:rPr>
        <w:t>Μηχανολογικός Εξοπλισμός για τα τελικά στάδια της παραγωγής,</w:t>
      </w:r>
      <w:r w:rsidR="003E60A3">
        <w:rPr>
          <w:rFonts w:cstheme="minorHAnsi"/>
          <w:highlight w:val="cyan"/>
        </w:rPr>
        <w:t xml:space="preserve"> </w:t>
      </w:r>
    </w:p>
    <w:p w:rsidR="004071C8" w:rsidRPr="003E60A3" w:rsidRDefault="003E60A3" w:rsidP="003E60A3">
      <w:pPr>
        <w:pStyle w:val="a3"/>
        <w:numPr>
          <w:ilvl w:val="0"/>
          <w:numId w:val="19"/>
        </w:numPr>
        <w:tabs>
          <w:tab w:val="num" w:pos="284"/>
        </w:tabs>
        <w:autoSpaceDE w:val="0"/>
        <w:autoSpaceDN w:val="0"/>
        <w:adjustRightInd w:val="0"/>
        <w:spacing w:after="0" w:line="320" w:lineRule="atLeast"/>
        <w:ind w:left="284" w:hanging="284"/>
        <w:rPr>
          <w:rFonts w:cstheme="minorHAnsi"/>
          <w:highlight w:val="cyan"/>
        </w:rPr>
      </w:pPr>
      <w:r>
        <w:rPr>
          <w:rFonts w:cstheme="minorHAnsi"/>
          <w:highlight w:val="cyan"/>
        </w:rPr>
        <w:t>Δ</w:t>
      </w:r>
      <w:r w:rsidR="004071C8" w:rsidRPr="003E60A3">
        <w:rPr>
          <w:rFonts w:cstheme="minorHAnsi"/>
          <w:highlight w:val="cyan"/>
        </w:rPr>
        <w:t>απάνες πληροφορικής/ τηλεπικοινωνιών,</w:t>
      </w:r>
    </w:p>
    <w:p w:rsidR="004071C8" w:rsidRPr="003E60A3" w:rsidRDefault="004071C8" w:rsidP="004071C8">
      <w:pPr>
        <w:pStyle w:val="a3"/>
        <w:numPr>
          <w:ilvl w:val="0"/>
          <w:numId w:val="19"/>
        </w:numPr>
        <w:tabs>
          <w:tab w:val="num" w:pos="284"/>
        </w:tabs>
        <w:autoSpaceDE w:val="0"/>
        <w:autoSpaceDN w:val="0"/>
        <w:adjustRightInd w:val="0"/>
        <w:spacing w:after="0" w:line="320" w:lineRule="atLeast"/>
        <w:ind w:hanging="720"/>
        <w:rPr>
          <w:rFonts w:cstheme="minorHAnsi"/>
          <w:highlight w:val="cyan"/>
        </w:rPr>
      </w:pPr>
      <w:r w:rsidRPr="003E60A3">
        <w:rPr>
          <w:rFonts w:cstheme="minorHAnsi"/>
          <w:highlight w:val="cyan"/>
        </w:rPr>
        <w:t>Ενέργειες σχεδιασμού, πιστοποίησης και συμμόρφωσης προϊόντων και</w:t>
      </w:r>
      <w:r w:rsidR="003E60A3">
        <w:rPr>
          <w:rFonts w:cstheme="minorHAnsi"/>
          <w:highlight w:val="cyan"/>
        </w:rPr>
        <w:t xml:space="preserve"> </w:t>
      </w:r>
      <w:r w:rsidRPr="003E60A3">
        <w:rPr>
          <w:rFonts w:cstheme="minorHAnsi"/>
          <w:highlight w:val="cyan"/>
        </w:rPr>
        <w:t>συσκευασίας</w:t>
      </w:r>
    </w:p>
    <w:p w:rsidR="004071C8" w:rsidRPr="004071C8" w:rsidRDefault="004071C8" w:rsidP="004071C8">
      <w:pPr>
        <w:pStyle w:val="a3"/>
        <w:numPr>
          <w:ilvl w:val="0"/>
          <w:numId w:val="19"/>
        </w:numPr>
        <w:tabs>
          <w:tab w:val="num" w:pos="284"/>
        </w:tabs>
        <w:autoSpaceDE w:val="0"/>
        <w:autoSpaceDN w:val="0"/>
        <w:adjustRightInd w:val="0"/>
        <w:spacing w:after="0" w:line="320" w:lineRule="atLeast"/>
        <w:ind w:hanging="720"/>
        <w:rPr>
          <w:rFonts w:cstheme="minorHAnsi"/>
          <w:highlight w:val="cyan"/>
        </w:rPr>
      </w:pPr>
      <w:r w:rsidRPr="004071C8">
        <w:rPr>
          <w:rFonts w:cstheme="minorHAnsi"/>
          <w:highlight w:val="cyan"/>
        </w:rPr>
        <w:t>Ενέργειες προβολής σε αγορές – στόχους,</w:t>
      </w:r>
    </w:p>
    <w:p w:rsidR="004071C8" w:rsidRPr="004071C8" w:rsidRDefault="004071C8" w:rsidP="004071C8">
      <w:pPr>
        <w:pStyle w:val="a3"/>
        <w:numPr>
          <w:ilvl w:val="0"/>
          <w:numId w:val="19"/>
        </w:numPr>
        <w:tabs>
          <w:tab w:val="num" w:pos="284"/>
        </w:tabs>
        <w:autoSpaceDE w:val="0"/>
        <w:autoSpaceDN w:val="0"/>
        <w:adjustRightInd w:val="0"/>
        <w:spacing w:after="0" w:line="320" w:lineRule="atLeast"/>
        <w:ind w:hanging="720"/>
        <w:rPr>
          <w:rFonts w:cstheme="minorHAnsi"/>
          <w:highlight w:val="cyan"/>
        </w:rPr>
      </w:pPr>
      <w:r w:rsidRPr="004071C8">
        <w:rPr>
          <w:rFonts w:cstheme="minorHAnsi"/>
          <w:highlight w:val="cyan"/>
        </w:rPr>
        <w:t>Ενέργειες Τεχνικής και Συμβουλευτικής Υποστήριξης Ενέργειες</w:t>
      </w:r>
    </w:p>
    <w:p w:rsidR="004071C8" w:rsidRPr="003E60A3" w:rsidRDefault="004071C8" w:rsidP="003E60A3">
      <w:pPr>
        <w:pStyle w:val="a3"/>
        <w:numPr>
          <w:ilvl w:val="0"/>
          <w:numId w:val="19"/>
        </w:numPr>
        <w:tabs>
          <w:tab w:val="num" w:pos="284"/>
        </w:tabs>
        <w:autoSpaceDE w:val="0"/>
        <w:autoSpaceDN w:val="0"/>
        <w:adjustRightInd w:val="0"/>
        <w:spacing w:after="0" w:line="320" w:lineRule="atLeast"/>
        <w:ind w:left="284" w:hanging="284"/>
        <w:rPr>
          <w:rFonts w:cstheme="minorHAnsi"/>
          <w:highlight w:val="cyan"/>
        </w:rPr>
      </w:pPr>
      <w:r w:rsidRPr="003E60A3">
        <w:rPr>
          <w:rFonts w:cstheme="minorHAnsi"/>
          <w:highlight w:val="cyan"/>
        </w:rPr>
        <w:t>Ενέργειες Προστασίας ή απόκτησης και χρήσης πατεντών, πνευματικής</w:t>
      </w:r>
      <w:r w:rsidR="003E60A3">
        <w:rPr>
          <w:rFonts w:cstheme="minorHAnsi"/>
          <w:highlight w:val="cyan"/>
        </w:rPr>
        <w:t xml:space="preserve"> </w:t>
      </w:r>
      <w:r w:rsidRPr="003E60A3">
        <w:rPr>
          <w:rFonts w:cstheme="minorHAnsi"/>
          <w:highlight w:val="cyan"/>
        </w:rPr>
        <w:t>ιδιοκτησίας και μεταφοράς τεχνογνωσίας σε ευρωπαϊκό και διεθνές επίπεδο</w:t>
      </w:r>
    </w:p>
    <w:p w:rsidR="004071C8" w:rsidRPr="004071C8" w:rsidRDefault="004071C8" w:rsidP="004071C8">
      <w:pPr>
        <w:pStyle w:val="Web"/>
        <w:numPr>
          <w:ilvl w:val="0"/>
          <w:numId w:val="19"/>
        </w:numPr>
        <w:tabs>
          <w:tab w:val="num" w:pos="284"/>
        </w:tabs>
        <w:spacing w:before="0" w:beforeAutospacing="0" w:after="0" w:afterAutospacing="0" w:line="320" w:lineRule="atLeast"/>
        <w:ind w:hanging="720"/>
        <w:jc w:val="both"/>
        <w:rPr>
          <w:rFonts w:asciiTheme="minorHAnsi" w:hAnsiTheme="minorHAnsi" w:cstheme="minorHAnsi"/>
          <w:sz w:val="22"/>
          <w:szCs w:val="22"/>
          <w:highlight w:val="cyan"/>
        </w:rPr>
      </w:pPr>
      <w:r w:rsidRPr="004071C8">
        <w:rPr>
          <w:rFonts w:asciiTheme="minorHAnsi" w:hAnsiTheme="minorHAnsi" w:cstheme="minorHAnsi"/>
          <w:sz w:val="22"/>
          <w:szCs w:val="22"/>
          <w:highlight w:val="cyan"/>
        </w:rPr>
        <w:t>Ενέργειες για ενσωμάτωση εξειδικευμένου προσωπικού και ανθρωπίνων πόρων</w:t>
      </w:r>
    </w:p>
    <w:p w:rsidR="00C4132F" w:rsidRPr="00C4132F" w:rsidRDefault="00C4132F" w:rsidP="004071C8">
      <w:pPr>
        <w:autoSpaceDE w:val="0"/>
        <w:autoSpaceDN w:val="0"/>
        <w:adjustRightInd w:val="0"/>
        <w:spacing w:after="0" w:line="320" w:lineRule="atLeast"/>
        <w:jc w:val="both"/>
        <w:rPr>
          <w:rFonts w:cstheme="minorHAnsi"/>
          <w:b/>
          <w:smallCaps/>
          <w:shadow/>
        </w:rPr>
      </w:pPr>
      <w:r w:rsidRPr="00C4132F">
        <w:rPr>
          <w:rFonts w:cstheme="minorHAnsi"/>
          <w:highlight w:val="cyan"/>
        </w:rPr>
        <w:t xml:space="preserve">Το ποσοστό ενίσχυσης </w:t>
      </w:r>
      <w:r w:rsidR="00F1177A">
        <w:rPr>
          <w:rFonts w:cstheme="minorHAnsi"/>
          <w:highlight w:val="cyan"/>
        </w:rPr>
        <w:t>κυμάνθηκε</w:t>
      </w:r>
      <w:r w:rsidRPr="00C4132F">
        <w:rPr>
          <w:rFonts w:cstheme="minorHAnsi"/>
          <w:highlight w:val="cyan"/>
        </w:rPr>
        <w:t xml:space="preserve"> </w:t>
      </w:r>
      <w:r w:rsidRPr="00C4132F">
        <w:rPr>
          <w:rFonts w:cstheme="minorHAnsi"/>
          <w:b/>
          <w:bCs/>
          <w:highlight w:val="cyan"/>
        </w:rPr>
        <w:t xml:space="preserve">από 40% έως 45% </w:t>
      </w:r>
      <w:r w:rsidRPr="00C4132F">
        <w:rPr>
          <w:rFonts w:cstheme="minorHAnsi"/>
          <w:highlight w:val="cyan"/>
        </w:rPr>
        <w:t>για κάθε επιχείρηση, ανάλογα με το μέγεθος της και έως 50% για κάθε μικρομεσαία επιχείρηση ε</w:t>
      </w:r>
      <w:r w:rsidR="003A6658">
        <w:rPr>
          <w:rFonts w:cstheme="minorHAnsi"/>
          <w:highlight w:val="cyan"/>
        </w:rPr>
        <w:t>φόσον</w:t>
      </w:r>
      <w:r w:rsidRPr="00C4132F">
        <w:rPr>
          <w:rFonts w:cstheme="minorHAnsi"/>
          <w:highlight w:val="cyan"/>
        </w:rPr>
        <w:t xml:space="preserve"> συμμετ</w:t>
      </w:r>
      <w:r w:rsidR="003A6658">
        <w:rPr>
          <w:rFonts w:cstheme="minorHAnsi"/>
          <w:highlight w:val="cyan"/>
        </w:rPr>
        <w:t xml:space="preserve">είχε </w:t>
      </w:r>
      <w:r w:rsidRPr="00C4132F">
        <w:rPr>
          <w:rFonts w:cstheme="minorHAnsi"/>
          <w:highlight w:val="cyan"/>
        </w:rPr>
        <w:t>σε συνεργασίες.</w:t>
      </w:r>
    </w:p>
    <w:p w:rsidR="004255AC" w:rsidRDefault="004255AC" w:rsidP="00AF7BF1">
      <w:pPr>
        <w:spacing w:after="0" w:line="320" w:lineRule="atLeast"/>
        <w:jc w:val="both"/>
        <w:textAlignment w:val="baseline"/>
        <w:rPr>
          <w:rFonts w:eastAsia="Calibri" w:cstheme="minorHAnsi"/>
          <w:color w:val="000000"/>
          <w:highlight w:val="cyan"/>
          <w:shd w:val="clear" w:color="auto" w:fill="FFFFFF"/>
        </w:rPr>
      </w:pPr>
    </w:p>
    <w:p w:rsidR="004255AC" w:rsidRPr="007D4F78" w:rsidRDefault="004255AC" w:rsidP="00AF7BF1">
      <w:pPr>
        <w:spacing w:after="0" w:line="320" w:lineRule="atLeast"/>
        <w:jc w:val="both"/>
        <w:rPr>
          <w:rFonts w:cstheme="minorHAnsi"/>
          <w:b/>
          <w:smallCaps/>
          <w:shadow/>
          <w:sz w:val="23"/>
          <w:szCs w:val="23"/>
        </w:rPr>
      </w:pPr>
      <w:r w:rsidRPr="007D4F78">
        <w:rPr>
          <w:rFonts w:cstheme="minorHAnsi"/>
          <w:b/>
          <w:smallCaps/>
          <w:shadow/>
          <w:sz w:val="23"/>
          <w:szCs w:val="23"/>
          <w:highlight w:val="cyan"/>
        </w:rPr>
        <w:t>Αξιολόγηση</w:t>
      </w:r>
      <w:r w:rsidR="007D4F78" w:rsidRPr="007D4F78">
        <w:rPr>
          <w:rFonts w:cstheme="minorHAnsi"/>
          <w:b/>
          <w:smallCaps/>
          <w:shadow/>
          <w:sz w:val="23"/>
          <w:szCs w:val="23"/>
          <w:highlight w:val="cyan"/>
        </w:rPr>
        <w:t xml:space="preserve"> Προτάσεων</w:t>
      </w:r>
    </w:p>
    <w:p w:rsidR="00E74341" w:rsidRPr="0045132C" w:rsidRDefault="00930126" w:rsidP="00AF7BF1">
      <w:pPr>
        <w:spacing w:after="0" w:line="320" w:lineRule="atLeast"/>
        <w:jc w:val="both"/>
        <w:textAlignment w:val="baseline"/>
        <w:rPr>
          <w:rFonts w:eastAsia="Calibri" w:cstheme="minorHAnsi"/>
          <w:color w:val="000000"/>
          <w:highlight w:val="cyan"/>
          <w:shd w:val="clear" w:color="auto" w:fill="FFFFFF"/>
        </w:rPr>
      </w:pPr>
      <w:r w:rsidRPr="00E74341">
        <w:rPr>
          <w:rFonts w:eastAsia="Calibri" w:cstheme="minorHAnsi"/>
          <w:color w:val="000000"/>
          <w:highlight w:val="cyan"/>
          <w:shd w:val="clear" w:color="auto" w:fill="FFFFFF"/>
        </w:rPr>
        <w:t xml:space="preserve">Το Πρόγραμμα έγινε αποδεκτό πολύ θετικά από τις ελληνικές μικρομεσαίες επιχειρήσεις, με αποτέλεσμα να υπερκαλυφθεί ο αρχικός προϋπολογισμός μιάμιση φορά, διαμορφώνοντας τη δημόσια χρηματοδότηση από τα 30 στα 45 εκατ. </w:t>
      </w:r>
      <w:r w:rsidRPr="008D4FB2">
        <w:rPr>
          <w:rFonts w:eastAsia="Calibri" w:cstheme="minorHAnsi"/>
          <w:color w:val="000000"/>
          <w:highlight w:val="cyan"/>
          <w:shd w:val="clear" w:color="auto" w:fill="FFFFFF"/>
        </w:rPr>
        <w:t>ευρώ.</w:t>
      </w:r>
      <w:r w:rsidR="00E74341" w:rsidRPr="008D4FB2">
        <w:rPr>
          <w:rFonts w:cstheme="minorHAnsi"/>
          <w:color w:val="000000"/>
          <w:highlight w:val="cyan"/>
          <w:shd w:val="clear" w:color="auto" w:fill="FFFFFF"/>
        </w:rPr>
        <w:t xml:space="preserve"> </w:t>
      </w:r>
      <w:r w:rsidR="00E74341" w:rsidRPr="008D4FB2">
        <w:rPr>
          <w:rFonts w:eastAsia="Calibri" w:cstheme="minorHAnsi"/>
          <w:color w:val="000000"/>
          <w:highlight w:val="cyan"/>
          <w:shd w:val="clear" w:color="auto" w:fill="FFFFFF"/>
        </w:rPr>
        <w:t xml:space="preserve">Συνολικά </w:t>
      </w:r>
      <w:r w:rsidR="00E74341" w:rsidRPr="0045132C">
        <w:rPr>
          <w:rFonts w:eastAsia="Calibri" w:cstheme="minorHAnsi"/>
          <w:color w:val="000000"/>
          <w:highlight w:val="cyan"/>
          <w:shd w:val="clear" w:color="auto" w:fill="FFFFFF"/>
        </w:rPr>
        <w:t xml:space="preserve">υποβλήθηκαν </w:t>
      </w:r>
      <w:r w:rsidR="0045132C" w:rsidRPr="0045132C">
        <w:rPr>
          <w:highlight w:val="cyan"/>
        </w:rPr>
        <w:t xml:space="preserve">ηλεκτρονικά </w:t>
      </w:r>
      <w:r w:rsidR="0045132C" w:rsidRPr="0045132C">
        <w:rPr>
          <w:rFonts w:eastAsia="Calibri" w:cstheme="minorHAnsi"/>
          <w:color w:val="000000"/>
          <w:highlight w:val="cyan"/>
          <w:shd w:val="clear" w:color="auto" w:fill="FFFFFF"/>
        </w:rPr>
        <w:t>828 επενδυτικές προτάσεις</w:t>
      </w:r>
      <w:r w:rsidR="0045132C" w:rsidRPr="0045132C">
        <w:rPr>
          <w:highlight w:val="cyan"/>
        </w:rPr>
        <w:t xml:space="preserve"> από τις </w:t>
      </w:r>
      <w:r w:rsidR="0045132C" w:rsidRPr="0045132C">
        <w:rPr>
          <w:rStyle w:val="aa"/>
          <w:highlight w:val="cyan"/>
        </w:rPr>
        <w:t>10/3/2011 έως και τις 14/6/2011 </w:t>
      </w:r>
      <w:r w:rsidR="00E74341" w:rsidRPr="0045132C">
        <w:rPr>
          <w:rFonts w:eastAsia="Calibri" w:cstheme="minorHAnsi"/>
          <w:color w:val="000000"/>
          <w:highlight w:val="cyan"/>
          <w:shd w:val="clear" w:color="auto" w:fill="FFFFFF"/>
        </w:rPr>
        <w:t xml:space="preserve">, με συνολικό προϋπολογισμό </w:t>
      </w:r>
      <w:r w:rsidR="004255AC" w:rsidRPr="0045132C">
        <w:rPr>
          <w:rFonts w:cstheme="minorHAnsi"/>
          <w:bCs/>
          <w:color w:val="000000"/>
          <w:highlight w:val="cyan"/>
        </w:rPr>
        <w:t>127.625.749,70</w:t>
      </w:r>
      <w:r w:rsidR="004255AC" w:rsidRPr="0045132C">
        <w:rPr>
          <w:rFonts w:cstheme="minorHAnsi"/>
          <w:b/>
          <w:bCs/>
          <w:color w:val="000000"/>
          <w:highlight w:val="cyan"/>
        </w:rPr>
        <w:t xml:space="preserve"> </w:t>
      </w:r>
      <w:r w:rsidR="00E74341" w:rsidRPr="0045132C">
        <w:rPr>
          <w:rFonts w:eastAsia="Calibri" w:cstheme="minorHAnsi"/>
          <w:color w:val="000000"/>
          <w:highlight w:val="cyan"/>
          <w:shd w:val="clear" w:color="auto" w:fill="FFFFFF"/>
        </w:rPr>
        <w:t xml:space="preserve">ευρώ που αναλογεί σε </w:t>
      </w:r>
      <w:r w:rsidR="004255AC" w:rsidRPr="0045132C">
        <w:rPr>
          <w:rFonts w:cstheme="minorHAnsi"/>
          <w:highlight w:val="cyan"/>
        </w:rPr>
        <w:t xml:space="preserve">58.132.609,41 </w:t>
      </w:r>
      <w:r w:rsidR="00E74341" w:rsidRPr="0045132C">
        <w:rPr>
          <w:rFonts w:eastAsia="Calibri" w:cstheme="minorHAnsi"/>
          <w:color w:val="000000"/>
          <w:highlight w:val="cyan"/>
          <w:shd w:val="clear" w:color="auto" w:fill="FFFFFF"/>
        </w:rPr>
        <w:t>ευρώ δημόσια χρηματοδότηση.</w:t>
      </w:r>
      <w:r w:rsidR="0045132C" w:rsidRPr="0045132C">
        <w:rPr>
          <w:highlight w:val="cyan"/>
        </w:rPr>
        <w:t xml:space="preserve"> </w:t>
      </w:r>
    </w:p>
    <w:p w:rsidR="00C16C98" w:rsidRPr="00E74341" w:rsidRDefault="00286C93" w:rsidP="00AF7BF1">
      <w:pPr>
        <w:spacing w:after="0" w:line="320" w:lineRule="atLeast"/>
        <w:ind w:firstLine="357"/>
        <w:jc w:val="both"/>
        <w:rPr>
          <w:rFonts w:cstheme="minorHAnsi"/>
        </w:rPr>
      </w:pPr>
      <w:r w:rsidRPr="0045132C">
        <w:rPr>
          <w:rFonts w:cstheme="minorHAnsi"/>
          <w:highlight w:val="cyan"/>
        </w:rPr>
        <w:t>Η</w:t>
      </w:r>
      <w:r w:rsidR="002C0120" w:rsidRPr="0045132C">
        <w:rPr>
          <w:rFonts w:cstheme="minorHAnsi"/>
          <w:highlight w:val="cyan"/>
        </w:rPr>
        <w:t xml:space="preserve"> αξιολογική διαδικασία για την ένταξη των εγκεκριμένων προτάσεων εκ μέρους των επιχειρήσεων </w:t>
      </w:r>
      <w:r w:rsidRPr="00976870">
        <w:rPr>
          <w:rFonts w:cstheme="minorHAnsi"/>
          <w:highlight w:val="cyan"/>
        </w:rPr>
        <w:t xml:space="preserve">ξεκίνησε τον </w:t>
      </w:r>
      <w:r w:rsidR="007F4498" w:rsidRPr="00976870">
        <w:rPr>
          <w:rFonts w:cstheme="minorHAnsi"/>
          <w:highlight w:val="cyan"/>
        </w:rPr>
        <w:t xml:space="preserve">Ιούλιο </w:t>
      </w:r>
      <w:r w:rsidR="00264C34" w:rsidRPr="00976870">
        <w:rPr>
          <w:rFonts w:cstheme="minorHAnsi"/>
          <w:highlight w:val="cyan"/>
        </w:rPr>
        <w:t xml:space="preserve">του </w:t>
      </w:r>
      <w:r w:rsidRPr="00976870">
        <w:rPr>
          <w:rFonts w:cstheme="minorHAnsi"/>
          <w:highlight w:val="cyan"/>
        </w:rPr>
        <w:t>201</w:t>
      </w:r>
      <w:r w:rsidR="007F4498" w:rsidRPr="00976870">
        <w:rPr>
          <w:rFonts w:cstheme="minorHAnsi"/>
          <w:highlight w:val="cyan"/>
        </w:rPr>
        <w:t>1</w:t>
      </w:r>
      <w:r w:rsidRPr="00976870">
        <w:rPr>
          <w:rFonts w:cstheme="minorHAnsi"/>
          <w:highlight w:val="cyan"/>
        </w:rPr>
        <w:t xml:space="preserve"> </w:t>
      </w:r>
      <w:r w:rsidR="00264C34" w:rsidRPr="00976870">
        <w:rPr>
          <w:rFonts w:cstheme="minorHAnsi"/>
          <w:highlight w:val="cyan"/>
        </w:rPr>
        <w:t xml:space="preserve">(μετά την τελική προθεσμία υποβολής των προτάσεων που έληξε στις </w:t>
      </w:r>
      <w:r w:rsidR="00976870" w:rsidRPr="00976870">
        <w:rPr>
          <w:rFonts w:cstheme="minorHAnsi"/>
          <w:highlight w:val="cyan"/>
        </w:rPr>
        <w:t>14</w:t>
      </w:r>
      <w:r w:rsidR="00264C34" w:rsidRPr="00976870">
        <w:rPr>
          <w:rFonts w:cstheme="minorHAnsi"/>
          <w:highlight w:val="cyan"/>
        </w:rPr>
        <w:t xml:space="preserve"> </w:t>
      </w:r>
      <w:r w:rsidR="007F4498" w:rsidRPr="00976870">
        <w:rPr>
          <w:rFonts w:cstheme="minorHAnsi"/>
          <w:highlight w:val="cyan"/>
        </w:rPr>
        <w:t>Ιουνίου</w:t>
      </w:r>
      <w:r w:rsidR="00264C34" w:rsidRPr="00976870">
        <w:rPr>
          <w:rFonts w:cstheme="minorHAnsi"/>
          <w:highlight w:val="cyan"/>
        </w:rPr>
        <w:t xml:space="preserve"> 201</w:t>
      </w:r>
      <w:r w:rsidR="007F4498" w:rsidRPr="00976870">
        <w:rPr>
          <w:rFonts w:cstheme="minorHAnsi"/>
          <w:highlight w:val="cyan"/>
        </w:rPr>
        <w:t>1</w:t>
      </w:r>
      <w:r w:rsidR="00264C34" w:rsidRPr="00976870">
        <w:rPr>
          <w:rFonts w:cstheme="minorHAnsi"/>
          <w:highlight w:val="cyan"/>
        </w:rPr>
        <w:t xml:space="preserve"> </w:t>
      </w:r>
      <w:r w:rsidRPr="00976870">
        <w:rPr>
          <w:rFonts w:cstheme="minorHAnsi"/>
          <w:highlight w:val="cyan"/>
        </w:rPr>
        <w:t xml:space="preserve">και </w:t>
      </w:r>
      <w:r w:rsidR="002C0120" w:rsidRPr="00976870">
        <w:rPr>
          <w:rFonts w:cstheme="minorHAnsi"/>
          <w:highlight w:val="cyan"/>
        </w:rPr>
        <w:t xml:space="preserve">ολοκληρώθηκε τον </w:t>
      </w:r>
      <w:r w:rsidR="007F4498" w:rsidRPr="00976870">
        <w:rPr>
          <w:rFonts w:cstheme="minorHAnsi"/>
          <w:highlight w:val="cyan"/>
        </w:rPr>
        <w:t>Σεπτέμβριο</w:t>
      </w:r>
      <w:r w:rsidR="002C0120" w:rsidRPr="00976870">
        <w:rPr>
          <w:rFonts w:cstheme="minorHAnsi"/>
          <w:highlight w:val="cyan"/>
        </w:rPr>
        <w:t xml:space="preserve"> του 201</w:t>
      </w:r>
      <w:r w:rsidR="007F4498" w:rsidRPr="00976870">
        <w:rPr>
          <w:rFonts w:cstheme="minorHAnsi"/>
          <w:highlight w:val="cyan"/>
        </w:rPr>
        <w:t>1</w:t>
      </w:r>
      <w:r w:rsidR="002C0120" w:rsidRPr="00976870">
        <w:rPr>
          <w:rFonts w:cstheme="minorHAnsi"/>
          <w:highlight w:val="cyan"/>
        </w:rPr>
        <w:t xml:space="preserve"> με την υπογραφή της υπ’ αριθ. </w:t>
      </w:r>
      <w:proofErr w:type="spellStart"/>
      <w:r w:rsidR="002C0120" w:rsidRPr="00976870">
        <w:rPr>
          <w:rFonts w:cstheme="minorHAnsi"/>
          <w:highlight w:val="cyan"/>
        </w:rPr>
        <w:t>πρωτ</w:t>
      </w:r>
      <w:proofErr w:type="spellEnd"/>
      <w:r w:rsidR="002C0120" w:rsidRPr="00976870">
        <w:rPr>
          <w:rFonts w:cstheme="minorHAnsi"/>
          <w:highlight w:val="cyan"/>
        </w:rPr>
        <w:t xml:space="preserve">. οικ. </w:t>
      </w:r>
      <w:r w:rsidR="00976870" w:rsidRPr="00976870">
        <w:rPr>
          <w:rFonts w:cstheme="minorHAnsi"/>
          <w:highlight w:val="cyan"/>
        </w:rPr>
        <w:t>12505/2807/07-09-2011</w:t>
      </w:r>
      <w:r w:rsidR="00976870">
        <w:rPr>
          <w:rFonts w:cstheme="minorHAnsi"/>
          <w:highlight w:val="cyan"/>
        </w:rPr>
        <w:t xml:space="preserve"> </w:t>
      </w:r>
      <w:r w:rsidR="00976870" w:rsidRPr="00976870">
        <w:rPr>
          <w:rFonts w:cstheme="minorHAnsi"/>
          <w:highlight w:val="cyan"/>
        </w:rPr>
        <w:t>(ΑΔΑ: 4Α8ΤΦ-ΛΠΨ)</w:t>
      </w:r>
      <w:r w:rsidR="002C0120" w:rsidRPr="00976870">
        <w:rPr>
          <w:rFonts w:cstheme="minorHAnsi"/>
          <w:highlight w:val="cyan"/>
        </w:rPr>
        <w:t xml:space="preserve"> απόφασης του </w:t>
      </w:r>
      <w:r w:rsidR="00976870" w:rsidRPr="00976870">
        <w:rPr>
          <w:rFonts w:cstheme="minorHAnsi"/>
          <w:highlight w:val="cyan"/>
        </w:rPr>
        <w:t>Αναπληρωτή Υπουργού Οικονομίας,</w:t>
      </w:r>
      <w:r w:rsidR="002C0120" w:rsidRPr="00976870">
        <w:rPr>
          <w:rFonts w:cstheme="minorHAnsi"/>
          <w:highlight w:val="cyan"/>
        </w:rPr>
        <w:t xml:space="preserve"> Ανταγωνιστικότητας</w:t>
      </w:r>
      <w:r w:rsidR="006578FB" w:rsidRPr="00976870">
        <w:rPr>
          <w:rFonts w:cstheme="minorHAnsi"/>
          <w:highlight w:val="cyan"/>
        </w:rPr>
        <w:t xml:space="preserve"> </w:t>
      </w:r>
      <w:r w:rsidR="00976870" w:rsidRPr="00976870">
        <w:rPr>
          <w:rFonts w:cstheme="minorHAnsi"/>
          <w:highlight w:val="cyan"/>
        </w:rPr>
        <w:t xml:space="preserve">και Ναυτιλίας </w:t>
      </w:r>
      <w:r w:rsidR="006578FB" w:rsidRPr="00976870">
        <w:rPr>
          <w:rFonts w:cstheme="minorHAnsi"/>
          <w:highlight w:val="cyan"/>
        </w:rPr>
        <w:t>με θέμα την αποδοχή των πρακτικών της αρμόδιας Επιτροπής Αξιολόγησης</w:t>
      </w:r>
      <w:r w:rsidR="002C0120" w:rsidRPr="00976870">
        <w:rPr>
          <w:rFonts w:cstheme="minorHAnsi"/>
          <w:highlight w:val="cyan"/>
        </w:rPr>
        <w:t>.</w:t>
      </w:r>
      <w:r w:rsidR="00426CB7" w:rsidRPr="00E74341">
        <w:rPr>
          <w:rFonts w:cstheme="minorHAnsi"/>
        </w:rPr>
        <w:t xml:space="preserve"> </w:t>
      </w:r>
    </w:p>
    <w:p w:rsidR="0045132C" w:rsidRDefault="0045132C" w:rsidP="00AF7BF1">
      <w:pPr>
        <w:pStyle w:val="Web"/>
        <w:spacing w:before="0" w:beforeAutospacing="0" w:after="0" w:afterAutospacing="0" w:line="320" w:lineRule="atLeast"/>
        <w:ind w:firstLine="301"/>
        <w:jc w:val="both"/>
        <w:textAlignment w:val="baseline"/>
        <w:rPr>
          <w:rFonts w:asciiTheme="minorHAnsi" w:hAnsiTheme="minorHAnsi" w:cstheme="minorHAnsi"/>
          <w:color w:val="000000"/>
          <w:sz w:val="22"/>
          <w:szCs w:val="22"/>
          <w:highlight w:val="cyan"/>
          <w:shd w:val="clear" w:color="auto" w:fill="FFFFFF"/>
        </w:rPr>
      </w:pPr>
      <w:r>
        <w:rPr>
          <w:rFonts w:asciiTheme="minorHAnsi" w:hAnsiTheme="minorHAnsi" w:cstheme="minorHAnsi"/>
          <w:color w:val="000000"/>
          <w:sz w:val="22"/>
          <w:szCs w:val="22"/>
          <w:highlight w:val="cyan"/>
          <w:shd w:val="clear" w:color="auto" w:fill="FFFFFF"/>
        </w:rPr>
        <w:t xml:space="preserve">Από τις 828 ηλεκτρονικές αιτήσεις, προχώρησαν στη διαδικασία αξιολόγησης οι 783 από τις οποίες οι 746 εντάχθηκαν στο πρόγραμμα, ενώ οι 37 απορρίφθηκαν. </w:t>
      </w:r>
    </w:p>
    <w:p w:rsidR="003A6A5E" w:rsidRPr="002964F5" w:rsidRDefault="003A6A5E" w:rsidP="00AF7BF1">
      <w:pPr>
        <w:pStyle w:val="Web"/>
        <w:spacing w:before="0" w:beforeAutospacing="0" w:after="0" w:afterAutospacing="0" w:line="320" w:lineRule="atLeast"/>
        <w:ind w:firstLine="301"/>
        <w:jc w:val="both"/>
        <w:textAlignment w:val="baseline"/>
        <w:rPr>
          <w:rFonts w:asciiTheme="minorHAnsi" w:hAnsiTheme="minorHAnsi" w:cstheme="minorHAnsi"/>
          <w:color w:val="000000"/>
          <w:sz w:val="22"/>
          <w:szCs w:val="22"/>
          <w:highlight w:val="cyan"/>
          <w:shd w:val="clear" w:color="auto" w:fill="FFFFFF"/>
        </w:rPr>
      </w:pPr>
      <w:r w:rsidRPr="002964F5">
        <w:rPr>
          <w:rFonts w:asciiTheme="minorHAnsi" w:hAnsiTheme="minorHAnsi" w:cstheme="minorHAnsi"/>
          <w:color w:val="000000"/>
          <w:sz w:val="22"/>
          <w:szCs w:val="22"/>
          <w:highlight w:val="cyan"/>
          <w:shd w:val="clear" w:color="auto" w:fill="FFFFFF"/>
        </w:rPr>
        <w:t>Η κατανομή των ενταγμένων επιχειρήσεων ανά Επιχειρησιακό Πρόγραμμα έχει ως εξής:</w:t>
      </w:r>
    </w:p>
    <w:p w:rsidR="003A6A5E" w:rsidRPr="002964F5" w:rsidRDefault="003A6A5E" w:rsidP="00905F54">
      <w:pPr>
        <w:pStyle w:val="Web"/>
        <w:spacing w:before="0" w:beforeAutospacing="0" w:after="0" w:afterAutospacing="0" w:line="320" w:lineRule="atLeast"/>
        <w:jc w:val="both"/>
        <w:textAlignment w:val="baseline"/>
        <w:rPr>
          <w:rFonts w:asciiTheme="minorHAnsi" w:hAnsiTheme="minorHAnsi" w:cstheme="minorHAnsi"/>
          <w:color w:val="000000"/>
          <w:sz w:val="22"/>
          <w:szCs w:val="22"/>
          <w:highlight w:val="cyan"/>
          <w:shd w:val="clear" w:color="auto" w:fill="FFFFFF"/>
        </w:rPr>
      </w:pPr>
      <w:r w:rsidRPr="002964F5">
        <w:rPr>
          <w:rStyle w:val="aa"/>
          <w:rFonts w:asciiTheme="minorHAnsi" w:hAnsiTheme="minorHAnsi" w:cstheme="minorHAnsi"/>
          <w:color w:val="000000"/>
          <w:sz w:val="22"/>
          <w:szCs w:val="22"/>
          <w:highlight w:val="cyan"/>
          <w:shd w:val="clear" w:color="auto" w:fill="FFFFFF"/>
        </w:rPr>
        <w:t>- ΕΠ Ανταγωνιστικότητα και Επιχειρηματικότητα (Άξονας 2):</w:t>
      </w:r>
      <w:r w:rsidRPr="002964F5">
        <w:rPr>
          <w:rStyle w:val="apple-converted-space"/>
          <w:rFonts w:asciiTheme="minorHAnsi" w:hAnsiTheme="minorHAnsi" w:cstheme="minorHAnsi"/>
          <w:color w:val="000000"/>
          <w:sz w:val="22"/>
          <w:szCs w:val="22"/>
          <w:highlight w:val="cyan"/>
          <w:shd w:val="clear" w:color="auto" w:fill="FFFFFF"/>
        </w:rPr>
        <w:t> </w:t>
      </w:r>
      <w:r w:rsidRPr="002964F5">
        <w:rPr>
          <w:rFonts w:asciiTheme="minorHAnsi" w:hAnsiTheme="minorHAnsi" w:cstheme="minorHAnsi"/>
          <w:color w:val="000000"/>
          <w:sz w:val="22"/>
          <w:szCs w:val="22"/>
          <w:highlight w:val="cyan"/>
          <w:shd w:val="clear" w:color="auto" w:fill="FFFFFF"/>
        </w:rPr>
        <w:t>117 επενδυτικά σχέδια με συνολική δημόσια χρηματοδότηση 7.251.015,37 ευρώ.</w:t>
      </w:r>
    </w:p>
    <w:p w:rsidR="003A6A5E" w:rsidRPr="002964F5" w:rsidRDefault="003A6A5E" w:rsidP="00905F54">
      <w:pPr>
        <w:pStyle w:val="Web"/>
        <w:spacing w:before="0" w:beforeAutospacing="0" w:after="0" w:afterAutospacing="0" w:line="320" w:lineRule="atLeast"/>
        <w:jc w:val="both"/>
        <w:textAlignment w:val="baseline"/>
        <w:rPr>
          <w:rFonts w:asciiTheme="minorHAnsi" w:hAnsiTheme="minorHAnsi" w:cstheme="minorHAnsi"/>
          <w:color w:val="000000"/>
          <w:sz w:val="22"/>
          <w:szCs w:val="22"/>
          <w:highlight w:val="cyan"/>
          <w:shd w:val="clear" w:color="auto" w:fill="FFFFFF"/>
        </w:rPr>
      </w:pPr>
      <w:r w:rsidRPr="002964F5">
        <w:rPr>
          <w:rStyle w:val="aa"/>
          <w:rFonts w:asciiTheme="minorHAnsi" w:hAnsiTheme="minorHAnsi" w:cstheme="minorHAnsi"/>
          <w:color w:val="000000"/>
          <w:sz w:val="22"/>
          <w:szCs w:val="22"/>
          <w:highlight w:val="cyan"/>
          <w:shd w:val="clear" w:color="auto" w:fill="FFFFFF"/>
        </w:rPr>
        <w:t>- ΠΕΠ Αττικής (Άξονας 3):</w:t>
      </w:r>
      <w:r w:rsidRPr="002964F5">
        <w:rPr>
          <w:rStyle w:val="apple-converted-space"/>
          <w:rFonts w:asciiTheme="minorHAnsi" w:hAnsiTheme="minorHAnsi" w:cstheme="minorHAnsi"/>
          <w:color w:val="000000"/>
          <w:sz w:val="22"/>
          <w:szCs w:val="22"/>
          <w:highlight w:val="cyan"/>
          <w:shd w:val="clear" w:color="auto" w:fill="FFFFFF"/>
        </w:rPr>
        <w:t> </w:t>
      </w:r>
      <w:r w:rsidRPr="002964F5">
        <w:rPr>
          <w:rFonts w:asciiTheme="minorHAnsi" w:hAnsiTheme="minorHAnsi" w:cstheme="minorHAnsi"/>
          <w:color w:val="000000"/>
          <w:sz w:val="22"/>
          <w:szCs w:val="22"/>
          <w:highlight w:val="cyan"/>
          <w:shd w:val="clear" w:color="auto" w:fill="FFFFFF"/>
        </w:rPr>
        <w:t>354 επενδυτικά σχέδια με συνολική δημόσια χρηματοδότηση 20.173.573,56 ευρώ.</w:t>
      </w:r>
    </w:p>
    <w:p w:rsidR="003A6A5E" w:rsidRPr="002964F5" w:rsidRDefault="003A6A5E" w:rsidP="00905F54">
      <w:pPr>
        <w:pStyle w:val="Web"/>
        <w:spacing w:before="0" w:beforeAutospacing="0" w:after="0" w:afterAutospacing="0" w:line="320" w:lineRule="atLeast"/>
        <w:jc w:val="both"/>
        <w:textAlignment w:val="baseline"/>
        <w:rPr>
          <w:rFonts w:asciiTheme="minorHAnsi" w:hAnsiTheme="minorHAnsi" w:cstheme="minorHAnsi"/>
          <w:color w:val="000000"/>
          <w:sz w:val="22"/>
          <w:szCs w:val="22"/>
          <w:highlight w:val="cyan"/>
          <w:shd w:val="clear" w:color="auto" w:fill="FFFFFF"/>
        </w:rPr>
      </w:pPr>
      <w:r w:rsidRPr="002964F5">
        <w:rPr>
          <w:rStyle w:val="aa"/>
          <w:rFonts w:asciiTheme="minorHAnsi" w:hAnsiTheme="minorHAnsi" w:cstheme="minorHAnsi"/>
          <w:color w:val="000000"/>
          <w:sz w:val="22"/>
          <w:szCs w:val="22"/>
          <w:highlight w:val="cyan"/>
          <w:shd w:val="clear" w:color="auto" w:fill="FFFFFF"/>
        </w:rPr>
        <w:t>- ΠΕΠ Θεσσαλίας-Στερεάς Ελλάδας-Ηπείρου (Άξονας 8):</w:t>
      </w:r>
      <w:r w:rsidRPr="002964F5">
        <w:rPr>
          <w:rStyle w:val="apple-converted-space"/>
          <w:rFonts w:asciiTheme="minorHAnsi" w:hAnsiTheme="minorHAnsi" w:cstheme="minorHAnsi"/>
          <w:color w:val="000000"/>
          <w:sz w:val="22"/>
          <w:szCs w:val="22"/>
          <w:highlight w:val="cyan"/>
          <w:shd w:val="clear" w:color="auto" w:fill="FFFFFF"/>
        </w:rPr>
        <w:t> </w:t>
      </w:r>
      <w:r w:rsidRPr="002964F5">
        <w:rPr>
          <w:rFonts w:asciiTheme="minorHAnsi" w:hAnsiTheme="minorHAnsi" w:cstheme="minorHAnsi"/>
          <w:color w:val="000000"/>
          <w:sz w:val="22"/>
          <w:szCs w:val="22"/>
          <w:highlight w:val="cyan"/>
          <w:shd w:val="clear" w:color="auto" w:fill="FFFFFF"/>
        </w:rPr>
        <w:t>33 επενδυτικά σχέδια με συνολική δημόσια χρηματοδότηση 2.537.597,84 ευρώ.</w:t>
      </w:r>
    </w:p>
    <w:p w:rsidR="003A6A5E" w:rsidRPr="002964F5" w:rsidRDefault="003A6A5E" w:rsidP="00905F54">
      <w:pPr>
        <w:pStyle w:val="Web"/>
        <w:spacing w:before="0" w:beforeAutospacing="0" w:after="0" w:afterAutospacing="0" w:line="320" w:lineRule="atLeast"/>
        <w:jc w:val="both"/>
        <w:textAlignment w:val="baseline"/>
        <w:rPr>
          <w:rFonts w:asciiTheme="minorHAnsi" w:hAnsiTheme="minorHAnsi" w:cstheme="minorHAnsi"/>
          <w:color w:val="000000"/>
          <w:sz w:val="22"/>
          <w:szCs w:val="22"/>
          <w:highlight w:val="cyan"/>
          <w:shd w:val="clear" w:color="auto" w:fill="FFFFFF"/>
        </w:rPr>
      </w:pPr>
      <w:r w:rsidRPr="002964F5">
        <w:rPr>
          <w:rStyle w:val="aa"/>
          <w:rFonts w:asciiTheme="minorHAnsi" w:hAnsiTheme="minorHAnsi" w:cstheme="minorHAnsi"/>
          <w:color w:val="000000"/>
          <w:sz w:val="22"/>
          <w:szCs w:val="22"/>
          <w:highlight w:val="cyan"/>
          <w:shd w:val="clear" w:color="auto" w:fill="FFFFFF"/>
        </w:rPr>
        <w:t>- ΠΕΠ Κρήτης και Νήσων Αιγαίου (Άξονας 6):</w:t>
      </w:r>
      <w:r w:rsidRPr="002964F5">
        <w:rPr>
          <w:rStyle w:val="apple-converted-space"/>
          <w:rFonts w:asciiTheme="minorHAnsi" w:hAnsiTheme="minorHAnsi" w:cstheme="minorHAnsi"/>
          <w:color w:val="000000"/>
          <w:sz w:val="22"/>
          <w:szCs w:val="22"/>
          <w:highlight w:val="cyan"/>
          <w:shd w:val="clear" w:color="auto" w:fill="FFFFFF"/>
        </w:rPr>
        <w:t> </w:t>
      </w:r>
      <w:r w:rsidRPr="002964F5">
        <w:rPr>
          <w:rFonts w:asciiTheme="minorHAnsi" w:hAnsiTheme="minorHAnsi" w:cstheme="minorHAnsi"/>
          <w:color w:val="000000"/>
          <w:sz w:val="22"/>
          <w:szCs w:val="22"/>
          <w:highlight w:val="cyan"/>
          <w:shd w:val="clear" w:color="auto" w:fill="FFFFFF"/>
        </w:rPr>
        <w:t>4 επενδυτικά σχέδια με συνολική δημόσια χρηματοδότηση 151.216,40 ευρώ.</w:t>
      </w:r>
    </w:p>
    <w:p w:rsidR="003A6A5E" w:rsidRPr="002964F5" w:rsidRDefault="003A6A5E" w:rsidP="00905F54">
      <w:pPr>
        <w:pStyle w:val="Web"/>
        <w:spacing w:before="0" w:beforeAutospacing="0" w:after="0" w:afterAutospacing="0" w:line="320" w:lineRule="atLeast"/>
        <w:jc w:val="both"/>
        <w:textAlignment w:val="baseline"/>
        <w:rPr>
          <w:rFonts w:asciiTheme="minorHAnsi" w:hAnsiTheme="minorHAnsi" w:cstheme="minorHAnsi"/>
          <w:color w:val="000000"/>
          <w:sz w:val="22"/>
          <w:szCs w:val="22"/>
          <w:highlight w:val="cyan"/>
          <w:shd w:val="clear" w:color="auto" w:fill="FFFFFF"/>
        </w:rPr>
      </w:pPr>
      <w:r w:rsidRPr="002964F5">
        <w:rPr>
          <w:rStyle w:val="aa"/>
          <w:rFonts w:asciiTheme="minorHAnsi" w:hAnsiTheme="minorHAnsi" w:cstheme="minorHAnsi"/>
          <w:color w:val="000000"/>
          <w:sz w:val="22"/>
          <w:szCs w:val="22"/>
          <w:highlight w:val="cyan"/>
          <w:shd w:val="clear" w:color="auto" w:fill="FFFFFF"/>
        </w:rPr>
        <w:t>- ΠΕΠ Μακεδονίας – Θράκης (Άξονας 4):</w:t>
      </w:r>
      <w:r w:rsidRPr="002964F5">
        <w:rPr>
          <w:rStyle w:val="apple-converted-space"/>
          <w:rFonts w:asciiTheme="minorHAnsi" w:hAnsiTheme="minorHAnsi" w:cstheme="minorHAnsi"/>
          <w:color w:val="000000"/>
          <w:sz w:val="22"/>
          <w:szCs w:val="22"/>
          <w:highlight w:val="cyan"/>
          <w:shd w:val="clear" w:color="auto" w:fill="FFFFFF"/>
        </w:rPr>
        <w:t> </w:t>
      </w:r>
      <w:r w:rsidRPr="002964F5">
        <w:rPr>
          <w:rFonts w:asciiTheme="minorHAnsi" w:hAnsiTheme="minorHAnsi" w:cstheme="minorHAnsi"/>
          <w:color w:val="000000"/>
          <w:sz w:val="22"/>
          <w:szCs w:val="22"/>
          <w:highlight w:val="cyan"/>
          <w:shd w:val="clear" w:color="auto" w:fill="FFFFFF"/>
        </w:rPr>
        <w:t>200 επενδυτικά σχέδια με συνολική δημόσια χρηματοδότηση 12.283.708,44 ευρώ.</w:t>
      </w:r>
    </w:p>
    <w:p w:rsidR="003A6A5E" w:rsidRPr="002964F5" w:rsidRDefault="003A6A5E" w:rsidP="00905F54">
      <w:pPr>
        <w:pStyle w:val="Web"/>
        <w:spacing w:before="0" w:beforeAutospacing="0" w:after="0" w:afterAutospacing="0" w:line="320" w:lineRule="atLeast"/>
        <w:jc w:val="both"/>
        <w:textAlignment w:val="baseline"/>
        <w:rPr>
          <w:rFonts w:asciiTheme="minorHAnsi" w:hAnsiTheme="minorHAnsi" w:cstheme="minorHAnsi"/>
          <w:color w:val="000000"/>
          <w:sz w:val="22"/>
          <w:szCs w:val="22"/>
          <w:shd w:val="clear" w:color="auto" w:fill="FFFFFF"/>
        </w:rPr>
      </w:pPr>
      <w:r w:rsidRPr="002964F5">
        <w:rPr>
          <w:rStyle w:val="aa"/>
          <w:rFonts w:asciiTheme="minorHAnsi" w:hAnsiTheme="minorHAnsi" w:cstheme="minorHAnsi"/>
          <w:color w:val="000000"/>
          <w:sz w:val="22"/>
          <w:szCs w:val="22"/>
          <w:highlight w:val="cyan"/>
          <w:shd w:val="clear" w:color="auto" w:fill="FFFFFF"/>
        </w:rPr>
        <w:t>- ΠΕΠ Μακεδονίας – Θράκης (Άξονας 5):</w:t>
      </w:r>
      <w:r w:rsidRPr="002964F5">
        <w:rPr>
          <w:rStyle w:val="apple-converted-space"/>
          <w:rFonts w:asciiTheme="minorHAnsi" w:hAnsiTheme="minorHAnsi" w:cstheme="minorHAnsi"/>
          <w:color w:val="000000"/>
          <w:sz w:val="22"/>
          <w:szCs w:val="22"/>
          <w:highlight w:val="cyan"/>
          <w:shd w:val="clear" w:color="auto" w:fill="FFFFFF"/>
        </w:rPr>
        <w:t> </w:t>
      </w:r>
      <w:r w:rsidRPr="002964F5">
        <w:rPr>
          <w:rFonts w:asciiTheme="minorHAnsi" w:hAnsiTheme="minorHAnsi" w:cstheme="minorHAnsi"/>
          <w:color w:val="000000"/>
          <w:sz w:val="22"/>
          <w:szCs w:val="22"/>
          <w:highlight w:val="cyan"/>
          <w:shd w:val="clear" w:color="auto" w:fill="FFFFFF"/>
        </w:rPr>
        <w:t>39 επενδυτικά σχέδια με συνολική δημόσια χρηματοδότηση 2.513.143,76 ευρώ.</w:t>
      </w:r>
    </w:p>
    <w:p w:rsidR="003A6A5E" w:rsidRPr="002964F5" w:rsidRDefault="003A6A5E" w:rsidP="00326431">
      <w:pPr>
        <w:pStyle w:val="Web"/>
        <w:spacing w:before="0" w:beforeAutospacing="0" w:after="0" w:afterAutospacing="0" w:line="300" w:lineRule="atLeast"/>
        <w:ind w:firstLine="301"/>
        <w:jc w:val="both"/>
        <w:textAlignment w:val="baseline"/>
        <w:rPr>
          <w:rFonts w:asciiTheme="minorHAnsi" w:hAnsiTheme="minorHAnsi" w:cstheme="minorHAnsi"/>
          <w:color w:val="000000"/>
          <w:sz w:val="22"/>
          <w:szCs w:val="22"/>
          <w:shd w:val="clear" w:color="auto" w:fill="FFFFFF"/>
        </w:rPr>
      </w:pPr>
    </w:p>
    <w:p w:rsidR="003A6A5E" w:rsidRPr="007D4F78" w:rsidRDefault="00326431" w:rsidP="00AF7BF1">
      <w:pPr>
        <w:spacing w:after="0" w:line="320" w:lineRule="atLeast"/>
        <w:jc w:val="both"/>
        <w:rPr>
          <w:rFonts w:cstheme="minorHAnsi"/>
          <w:b/>
          <w:smallCaps/>
          <w:shadow/>
          <w:sz w:val="23"/>
          <w:szCs w:val="23"/>
        </w:rPr>
      </w:pPr>
      <w:r w:rsidRPr="007D4F78">
        <w:rPr>
          <w:rFonts w:cstheme="minorHAnsi"/>
          <w:b/>
          <w:smallCaps/>
          <w:shadow/>
          <w:sz w:val="23"/>
          <w:szCs w:val="23"/>
          <w:highlight w:val="cyan"/>
        </w:rPr>
        <w:t>Συνεργατικά</w:t>
      </w:r>
      <w:r w:rsidR="003A6A5E" w:rsidRPr="007D4F78">
        <w:rPr>
          <w:rFonts w:cstheme="minorHAnsi"/>
          <w:b/>
          <w:smallCaps/>
          <w:shadow/>
          <w:sz w:val="23"/>
          <w:szCs w:val="23"/>
          <w:highlight w:val="cyan"/>
        </w:rPr>
        <w:t xml:space="preserve"> </w:t>
      </w:r>
      <w:r w:rsidRPr="007D4F78">
        <w:rPr>
          <w:rFonts w:cstheme="minorHAnsi"/>
          <w:b/>
          <w:smallCaps/>
          <w:shadow/>
          <w:sz w:val="23"/>
          <w:szCs w:val="23"/>
          <w:highlight w:val="cyan"/>
        </w:rPr>
        <w:t>Σχήματα</w:t>
      </w:r>
    </w:p>
    <w:p w:rsidR="003A6A5E" w:rsidRDefault="00E74341" w:rsidP="00AF7BF1">
      <w:pPr>
        <w:pStyle w:val="Web"/>
        <w:spacing w:before="0" w:beforeAutospacing="0" w:after="0" w:afterAutospacing="0" w:line="320" w:lineRule="atLeast"/>
        <w:ind w:firstLine="300"/>
        <w:jc w:val="both"/>
        <w:textAlignment w:val="baseline"/>
        <w:rPr>
          <w:rFonts w:asciiTheme="minorHAnsi" w:hAnsiTheme="minorHAnsi" w:cstheme="minorHAnsi"/>
          <w:color w:val="000000"/>
          <w:sz w:val="22"/>
          <w:szCs w:val="22"/>
          <w:highlight w:val="cyan"/>
          <w:shd w:val="clear" w:color="auto" w:fill="FFFFFF"/>
        </w:rPr>
      </w:pPr>
      <w:r w:rsidRPr="002964F5">
        <w:rPr>
          <w:rFonts w:asciiTheme="minorHAnsi" w:hAnsiTheme="minorHAnsi" w:cstheme="minorHAnsi"/>
          <w:color w:val="000000"/>
          <w:sz w:val="22"/>
          <w:szCs w:val="22"/>
          <w:highlight w:val="cyan"/>
          <w:shd w:val="clear" w:color="auto" w:fill="FFFFFF"/>
        </w:rPr>
        <w:t>Αξίζει να σημειωθεί ότι από τις προτάσεις που υποβλήθηκαν προέκυψαν 65 συνεργατικά σχήματα, στα οποία συμμετέχουν 156 επιχειρήσεις, εκ των οποίων εντάχθηκαν τελικά 56 συνεργατικά σχήματα στα οποία συμμετέχουν 136 επιχειρήσεις. Εξετάζοντας τις συνεργασίες ανά κατηγορία, σημειώνεται ότι, στο Πρόγραμμα συμμετέχουν 11 μεγάλες επιχειρήσεις που έχουν μεταξύ άλλων ως προϋπόθεση να συνεργαστούν με δυο τουλάχιστον μεταποιητικές μικρομεσαίες επιχειρήσεις, 43 εμπορικές επιχειρήσεις που έχουν μεταξύ άλλων ως προϋπόθεση να συνεργαστούν με μια τουλάχιστον μεταποιητική μικρομεσαία επιχείρηση και 2 συνεργατικά σχήματα που αποτελούνται από τουλάχιστον τρείς μεταποιητικές μικρομεσαίες επιχειρήσεις.</w:t>
      </w:r>
    </w:p>
    <w:p w:rsidR="003A6A5E" w:rsidRDefault="003A6A5E" w:rsidP="00AF7BF1">
      <w:pPr>
        <w:pStyle w:val="Web"/>
        <w:spacing w:before="0" w:beforeAutospacing="0" w:after="0" w:afterAutospacing="0" w:line="320" w:lineRule="atLeast"/>
        <w:ind w:firstLine="300"/>
        <w:jc w:val="both"/>
        <w:textAlignment w:val="baseline"/>
        <w:rPr>
          <w:rFonts w:asciiTheme="minorHAnsi" w:eastAsia="Calibri" w:hAnsiTheme="minorHAnsi" w:cstheme="minorHAnsi"/>
          <w:sz w:val="22"/>
          <w:szCs w:val="22"/>
          <w:highlight w:val="cyan"/>
        </w:rPr>
      </w:pPr>
      <w:r w:rsidRPr="002964F5">
        <w:rPr>
          <w:rFonts w:asciiTheme="minorHAnsi" w:eastAsia="Calibri" w:hAnsiTheme="minorHAnsi" w:cstheme="minorHAnsi"/>
          <w:sz w:val="22"/>
          <w:szCs w:val="22"/>
          <w:highlight w:val="cyan"/>
        </w:rPr>
        <w:t xml:space="preserve">Εξετάζοντας λεπτομερώς τον </w:t>
      </w:r>
      <w:r w:rsidRPr="002964F5">
        <w:rPr>
          <w:rFonts w:asciiTheme="minorHAnsi" w:eastAsia="Calibri" w:hAnsiTheme="minorHAnsi" w:cstheme="minorHAnsi"/>
          <w:b/>
          <w:sz w:val="22"/>
          <w:szCs w:val="22"/>
          <w:highlight w:val="cyan"/>
        </w:rPr>
        <w:t>αριθμό των κοινών δράσεων</w:t>
      </w:r>
      <w:r w:rsidRPr="002964F5">
        <w:rPr>
          <w:rFonts w:asciiTheme="minorHAnsi" w:eastAsia="Calibri" w:hAnsiTheme="minorHAnsi" w:cstheme="minorHAnsi"/>
          <w:sz w:val="22"/>
          <w:szCs w:val="22"/>
          <w:highlight w:val="cyan"/>
        </w:rPr>
        <w:t xml:space="preserve"> που περιλαμβάνουν τα συνεργατικά σχήματα των προτάσεων που υποβλήθηκαν, προκύπτει ότι </w:t>
      </w:r>
      <w:r w:rsidRPr="002964F5">
        <w:rPr>
          <w:rFonts w:asciiTheme="minorHAnsi" w:eastAsia="Calibri" w:hAnsiTheme="minorHAnsi" w:cstheme="minorHAnsi"/>
          <w:b/>
          <w:sz w:val="22"/>
          <w:szCs w:val="22"/>
          <w:highlight w:val="cyan"/>
        </w:rPr>
        <w:t>το 49% των συνεργασιών, 32 συνεργατικά σχήματα, περιορίζονται σε μια μόνο κοινή δράση που στις 20 από τις 32 περιπτώσεις είναι η κοινή συμμετοχή σε διεθνή έκθεση.</w:t>
      </w:r>
      <w:r w:rsidRPr="002964F5">
        <w:rPr>
          <w:rFonts w:asciiTheme="minorHAnsi" w:eastAsia="Calibri" w:hAnsiTheme="minorHAnsi" w:cstheme="minorHAnsi"/>
          <w:sz w:val="22"/>
          <w:szCs w:val="22"/>
          <w:highlight w:val="cyan"/>
        </w:rPr>
        <w:t xml:space="preserve"> Το 29% των συνεργασιών, 19 συνεργατικά σχήματα, περιλαμβάνουν δυο κοινές δράσεις, το 12% των συνεργασιών, 8 συνεργατικά σχήματα, περιλαμβάνουν τρεις κοινές δράσεις, το 4,6% των συνεργασιών, 3 συνεργατικά σχήματα, περιλαμβάνουν επτά κοινές δράσεις, δυο συνεργατικά σχήματα περιλαμβάνουν τέσσερις κοινές δράσεις και ένα συνεργατικό σχήμα περιλαμβάνει πέντε κοινές δράσεις.</w:t>
      </w:r>
    </w:p>
    <w:p w:rsidR="003A6A5E" w:rsidRPr="002964F5" w:rsidRDefault="003A6A5E" w:rsidP="00AF7BF1">
      <w:pPr>
        <w:pStyle w:val="Web"/>
        <w:spacing w:before="0" w:beforeAutospacing="0" w:after="0" w:afterAutospacing="0" w:line="320" w:lineRule="atLeast"/>
        <w:ind w:firstLine="300"/>
        <w:jc w:val="both"/>
        <w:textAlignment w:val="baseline"/>
        <w:rPr>
          <w:rFonts w:asciiTheme="minorHAnsi" w:eastAsia="Calibri" w:hAnsiTheme="minorHAnsi" w:cstheme="minorHAnsi"/>
          <w:sz w:val="22"/>
          <w:szCs w:val="22"/>
        </w:rPr>
      </w:pPr>
      <w:r w:rsidRPr="002964F5">
        <w:rPr>
          <w:rFonts w:asciiTheme="minorHAnsi" w:eastAsia="Calibri" w:hAnsiTheme="minorHAnsi" w:cstheme="minorHAnsi"/>
          <w:sz w:val="22"/>
          <w:szCs w:val="22"/>
          <w:highlight w:val="cyan"/>
        </w:rPr>
        <w:t xml:space="preserve">Αναλύοντας το </w:t>
      </w:r>
      <w:r w:rsidRPr="002964F5">
        <w:rPr>
          <w:rFonts w:asciiTheme="minorHAnsi" w:eastAsia="Calibri" w:hAnsiTheme="minorHAnsi" w:cstheme="minorHAnsi"/>
          <w:b/>
          <w:sz w:val="22"/>
          <w:szCs w:val="22"/>
          <w:highlight w:val="cyan"/>
        </w:rPr>
        <w:t>περιεχόμενο της συνεργασίας</w:t>
      </w:r>
      <w:r w:rsidRPr="002964F5">
        <w:rPr>
          <w:rFonts w:asciiTheme="minorHAnsi" w:eastAsia="Calibri" w:hAnsiTheme="minorHAnsi" w:cstheme="minorHAnsi"/>
          <w:sz w:val="22"/>
          <w:szCs w:val="22"/>
          <w:highlight w:val="cyan"/>
        </w:rPr>
        <w:t xml:space="preserve"> των υποβληθέντων προτάσεων, προκύπτει ότι </w:t>
      </w:r>
      <w:r w:rsidRPr="002964F5">
        <w:rPr>
          <w:rFonts w:asciiTheme="minorHAnsi" w:eastAsia="Calibri" w:hAnsiTheme="minorHAnsi" w:cstheme="minorHAnsi"/>
          <w:b/>
          <w:sz w:val="22"/>
          <w:szCs w:val="22"/>
          <w:highlight w:val="cyan"/>
        </w:rPr>
        <w:t>το 52,3% των συνεργατικών σχημάτων επιλέγει ως κοινή δράση, την κοινή συμμετοχή σε διεθνή έκθεση</w:t>
      </w:r>
      <w:r w:rsidRPr="002964F5">
        <w:rPr>
          <w:rFonts w:asciiTheme="minorHAnsi" w:eastAsia="Calibri" w:hAnsiTheme="minorHAnsi" w:cstheme="minorHAnsi"/>
          <w:sz w:val="22"/>
          <w:szCs w:val="22"/>
          <w:highlight w:val="cyan"/>
        </w:rPr>
        <w:t xml:space="preserve">, το 36,9% την από κοινού εκπόνηση έρευνας αγοράς για τις αγορές στόχους και το 26,2% την από κοινού εκπόνηση μελέτης εξαγωγικής καθοδήγησης και διείσδυσης στις αγορές στόχους, σχεδίου μάρκετινγκ και σχεδίου εξαγωγών. Ο αριθμός και το είδος των κοινών δράσεων που περιλαμβάνονται στα συνεργατικά σχήματα, δεν </w:t>
      </w:r>
      <w:r w:rsidR="00B97F9F">
        <w:rPr>
          <w:rFonts w:asciiTheme="minorHAnsi" w:eastAsia="Calibri" w:hAnsiTheme="minorHAnsi" w:cstheme="minorHAnsi"/>
          <w:sz w:val="22"/>
          <w:szCs w:val="22"/>
          <w:highlight w:val="cyan"/>
        </w:rPr>
        <w:t xml:space="preserve">φάνηκε </w:t>
      </w:r>
      <w:r w:rsidRPr="002964F5">
        <w:rPr>
          <w:rFonts w:asciiTheme="minorHAnsi" w:eastAsia="Calibri" w:hAnsiTheme="minorHAnsi" w:cstheme="minorHAnsi"/>
          <w:sz w:val="22"/>
          <w:szCs w:val="22"/>
          <w:highlight w:val="cyan"/>
        </w:rPr>
        <w:t>να διαφοροποιείται σημαντικά ως προς την κατηγορία συνεργασίας με μεγάλη επιχείρηση, εμπορική ή ανάμεσα σε μικρομεσαίες επιχειρήσεις.</w:t>
      </w:r>
    </w:p>
    <w:p w:rsidR="003A6A5E" w:rsidRDefault="003A6A5E" w:rsidP="006F6B3A">
      <w:pPr>
        <w:spacing w:after="0" w:line="320" w:lineRule="atLeast"/>
        <w:jc w:val="both"/>
        <w:rPr>
          <w:rFonts w:cstheme="minorHAnsi"/>
          <w:b/>
          <w:smallCaps/>
          <w:shadow/>
        </w:rPr>
      </w:pPr>
    </w:p>
    <w:p w:rsidR="003A6A5E" w:rsidRPr="007D4F78" w:rsidRDefault="008A136A" w:rsidP="00AF7BF1">
      <w:pPr>
        <w:spacing w:after="0" w:line="320" w:lineRule="atLeast"/>
        <w:jc w:val="both"/>
        <w:rPr>
          <w:rFonts w:cstheme="minorHAnsi"/>
          <w:sz w:val="23"/>
          <w:szCs w:val="23"/>
        </w:rPr>
      </w:pPr>
      <w:r w:rsidRPr="007D4F78">
        <w:rPr>
          <w:rFonts w:cstheme="minorHAnsi"/>
          <w:b/>
          <w:smallCaps/>
          <w:shadow/>
          <w:sz w:val="23"/>
          <w:szCs w:val="23"/>
          <w:highlight w:val="cyan"/>
        </w:rPr>
        <w:t>Ενστάσεις</w:t>
      </w:r>
      <w:r w:rsidR="008C7369" w:rsidRPr="007D4F78">
        <w:rPr>
          <w:rFonts w:cstheme="minorHAnsi"/>
          <w:b/>
          <w:smallCaps/>
          <w:shadow/>
          <w:sz w:val="23"/>
          <w:szCs w:val="23"/>
          <w:highlight w:val="cyan"/>
        </w:rPr>
        <w:t xml:space="preserve"> </w:t>
      </w:r>
      <w:r w:rsidR="007D4F78" w:rsidRPr="007D4F78">
        <w:rPr>
          <w:rFonts w:cstheme="minorHAnsi"/>
          <w:b/>
          <w:smallCaps/>
          <w:shadow/>
          <w:sz w:val="23"/>
          <w:szCs w:val="23"/>
          <w:highlight w:val="cyan"/>
        </w:rPr>
        <w:t>Μετά Την Αξιολόγηση</w:t>
      </w:r>
    </w:p>
    <w:p w:rsidR="00286C93" w:rsidRPr="002B2CB7" w:rsidRDefault="00E2768C" w:rsidP="00326431">
      <w:pPr>
        <w:spacing w:after="0" w:line="320" w:lineRule="atLeast"/>
        <w:ind w:firstLine="357"/>
        <w:jc w:val="both"/>
        <w:rPr>
          <w:rFonts w:cstheme="minorHAnsi"/>
          <w:strike/>
        </w:rPr>
      </w:pPr>
      <w:r w:rsidRPr="00B274D7">
        <w:rPr>
          <w:rFonts w:cstheme="minorHAnsi"/>
          <w:highlight w:val="cyan"/>
        </w:rPr>
        <w:t xml:space="preserve">Κατά της εν λόγω απόφασης κατατέθηκαν συνολικά </w:t>
      </w:r>
      <w:r w:rsidR="00D50012" w:rsidRPr="00B274D7">
        <w:rPr>
          <w:rFonts w:cstheme="minorHAnsi"/>
          <w:highlight w:val="cyan"/>
        </w:rPr>
        <w:t>26</w:t>
      </w:r>
      <w:r w:rsidRPr="00B274D7">
        <w:rPr>
          <w:rFonts w:cstheme="minorHAnsi"/>
          <w:highlight w:val="cyan"/>
        </w:rPr>
        <w:t xml:space="preserve"> ενστάσεις με το χαρακτήρα της </w:t>
      </w:r>
      <w:proofErr w:type="spellStart"/>
      <w:r w:rsidRPr="00B274D7">
        <w:rPr>
          <w:rFonts w:cstheme="minorHAnsi"/>
          <w:highlight w:val="cyan"/>
        </w:rPr>
        <w:t>ενδικοφανούς</w:t>
      </w:r>
      <w:proofErr w:type="spellEnd"/>
      <w:r w:rsidRPr="00B274D7">
        <w:rPr>
          <w:rFonts w:cstheme="minorHAnsi"/>
          <w:highlight w:val="cyan"/>
        </w:rPr>
        <w:t xml:space="preserve"> προσφυγής</w:t>
      </w:r>
      <w:r w:rsidR="00286C93" w:rsidRPr="00B274D7">
        <w:rPr>
          <w:rFonts w:cstheme="minorHAnsi"/>
          <w:highlight w:val="cyan"/>
        </w:rPr>
        <w:t xml:space="preserve"> για διάφορους λόγους (απορρίψεις</w:t>
      </w:r>
      <w:r w:rsidR="0092720C" w:rsidRPr="00B274D7">
        <w:rPr>
          <w:rFonts w:cstheme="minorHAnsi"/>
          <w:highlight w:val="cyan"/>
        </w:rPr>
        <w:t xml:space="preserve"> έργων</w:t>
      </w:r>
      <w:r w:rsidR="00264C34" w:rsidRPr="00B274D7">
        <w:rPr>
          <w:rFonts w:cstheme="minorHAnsi"/>
          <w:highlight w:val="cyan"/>
        </w:rPr>
        <w:t xml:space="preserve"> για έλλειψη τυπικών προϋποθέσεων</w:t>
      </w:r>
      <w:r w:rsidRPr="00B274D7">
        <w:rPr>
          <w:rFonts w:cstheme="minorHAnsi"/>
          <w:highlight w:val="cyan"/>
        </w:rPr>
        <w:t>,</w:t>
      </w:r>
      <w:r w:rsidR="00286C93" w:rsidRPr="00B274D7">
        <w:rPr>
          <w:rFonts w:cstheme="minorHAnsi"/>
          <w:highlight w:val="cyan"/>
        </w:rPr>
        <w:t xml:space="preserve"> περικοπές δαπανώ</w:t>
      </w:r>
      <w:r w:rsidR="0092720C" w:rsidRPr="00B274D7">
        <w:rPr>
          <w:rFonts w:cstheme="minorHAnsi"/>
          <w:highlight w:val="cyan"/>
        </w:rPr>
        <w:t>ν με αποτέλεσμα τη μείωση του ε</w:t>
      </w:r>
      <w:r w:rsidR="00286C93" w:rsidRPr="00B274D7">
        <w:rPr>
          <w:rFonts w:cstheme="minorHAnsi"/>
          <w:highlight w:val="cyan"/>
        </w:rPr>
        <w:t>γ</w:t>
      </w:r>
      <w:r w:rsidR="0092720C" w:rsidRPr="00B274D7">
        <w:rPr>
          <w:rFonts w:cstheme="minorHAnsi"/>
          <w:highlight w:val="cyan"/>
        </w:rPr>
        <w:t>κ</w:t>
      </w:r>
      <w:r w:rsidR="00286C93" w:rsidRPr="00B274D7">
        <w:rPr>
          <w:rFonts w:cstheme="minorHAnsi"/>
          <w:highlight w:val="cyan"/>
        </w:rPr>
        <w:t xml:space="preserve">εκριμένου Π/Υ και του ποσού δημόσιας δαπάνης προς καταβολή ή τη μείωση του Π/Υ κάτω από το όριο των </w:t>
      </w:r>
      <w:r w:rsidR="00D63F2F" w:rsidRPr="00B274D7">
        <w:rPr>
          <w:rFonts w:cstheme="minorHAnsi"/>
          <w:highlight w:val="cyan"/>
        </w:rPr>
        <w:t xml:space="preserve">30.000 </w:t>
      </w:r>
      <w:r w:rsidR="00286C93" w:rsidRPr="00B274D7">
        <w:rPr>
          <w:rFonts w:cstheme="minorHAnsi"/>
          <w:highlight w:val="cyan"/>
        </w:rPr>
        <w:t xml:space="preserve"> ευρώ με αποτέλεσμα την απόρριψη του επενδυτικού σχεδίου κλπ).</w:t>
      </w:r>
      <w:r w:rsidRPr="00B274D7">
        <w:rPr>
          <w:rFonts w:cstheme="minorHAnsi"/>
          <w:highlight w:val="cyan"/>
        </w:rPr>
        <w:t xml:space="preserve"> </w:t>
      </w:r>
      <w:r w:rsidR="00286C93" w:rsidRPr="00B274D7">
        <w:rPr>
          <w:rFonts w:cstheme="minorHAnsi"/>
          <w:highlight w:val="cyan"/>
        </w:rPr>
        <w:t>Οι</w:t>
      </w:r>
      <w:r w:rsidRPr="00B274D7">
        <w:rPr>
          <w:rFonts w:cstheme="minorHAnsi"/>
          <w:highlight w:val="cyan"/>
        </w:rPr>
        <w:t xml:space="preserve"> </w:t>
      </w:r>
      <w:r w:rsidR="00286C93" w:rsidRPr="00B274D7">
        <w:rPr>
          <w:rFonts w:cstheme="minorHAnsi"/>
          <w:highlight w:val="cyan"/>
        </w:rPr>
        <w:t>ενστάσεις</w:t>
      </w:r>
      <w:r w:rsidRPr="00B274D7">
        <w:rPr>
          <w:rFonts w:cstheme="minorHAnsi"/>
          <w:highlight w:val="cyan"/>
        </w:rPr>
        <w:t xml:space="preserve"> εξετάστηκαν </w:t>
      </w:r>
      <w:r w:rsidR="006578FB" w:rsidRPr="00B274D7">
        <w:rPr>
          <w:rFonts w:cstheme="minorHAnsi"/>
          <w:highlight w:val="cyan"/>
        </w:rPr>
        <w:t>από την αρμόδια Επιτροπή Παρακολούθησης και Παραλαβής</w:t>
      </w:r>
      <w:r w:rsidR="0092720C" w:rsidRPr="00B274D7">
        <w:rPr>
          <w:rFonts w:cstheme="minorHAnsi"/>
          <w:highlight w:val="cyan"/>
        </w:rPr>
        <w:t xml:space="preserve"> </w:t>
      </w:r>
      <w:r w:rsidR="00D50012" w:rsidRPr="00B274D7">
        <w:rPr>
          <w:rFonts w:cstheme="minorHAnsi"/>
          <w:highlight w:val="cyan"/>
        </w:rPr>
        <w:t>Έργου.</w:t>
      </w:r>
    </w:p>
    <w:p w:rsidR="00326431" w:rsidRDefault="00326431" w:rsidP="00AF7BF1">
      <w:pPr>
        <w:spacing w:after="0" w:line="320" w:lineRule="atLeast"/>
        <w:jc w:val="both"/>
        <w:rPr>
          <w:rFonts w:cstheme="minorHAnsi"/>
          <w:b/>
          <w:smallCaps/>
          <w:shadow/>
        </w:rPr>
      </w:pPr>
    </w:p>
    <w:p w:rsidR="002B2CB7" w:rsidRPr="007D4F78" w:rsidRDefault="002B2CB7" w:rsidP="00AF7BF1">
      <w:pPr>
        <w:spacing w:after="0" w:line="320" w:lineRule="atLeast"/>
        <w:jc w:val="both"/>
        <w:rPr>
          <w:rFonts w:cstheme="minorHAnsi"/>
          <w:b/>
          <w:smallCaps/>
          <w:shadow/>
          <w:sz w:val="23"/>
          <w:szCs w:val="23"/>
          <w:highlight w:val="cyan"/>
        </w:rPr>
      </w:pPr>
      <w:r w:rsidRPr="007D4F78">
        <w:rPr>
          <w:rFonts w:cstheme="minorHAnsi"/>
          <w:b/>
          <w:smallCaps/>
          <w:shadow/>
          <w:sz w:val="23"/>
          <w:szCs w:val="23"/>
          <w:highlight w:val="cyan"/>
        </w:rPr>
        <w:t>Εντάξεις</w:t>
      </w:r>
      <w:r w:rsidR="008A136A" w:rsidRPr="007D4F78">
        <w:rPr>
          <w:rFonts w:cstheme="minorHAnsi"/>
          <w:b/>
          <w:smallCaps/>
          <w:shadow/>
          <w:sz w:val="23"/>
          <w:szCs w:val="23"/>
          <w:highlight w:val="cyan"/>
        </w:rPr>
        <w:t xml:space="preserve"> </w:t>
      </w:r>
      <w:r w:rsidR="008C7369" w:rsidRPr="007D4F78">
        <w:rPr>
          <w:rFonts w:cstheme="minorHAnsi"/>
          <w:b/>
          <w:smallCaps/>
          <w:shadow/>
          <w:sz w:val="23"/>
          <w:szCs w:val="23"/>
          <w:highlight w:val="cyan"/>
        </w:rPr>
        <w:t xml:space="preserve">Δικαιούχων </w:t>
      </w:r>
      <w:r w:rsidR="007D4F78" w:rsidRPr="007D4F78">
        <w:rPr>
          <w:rFonts w:cstheme="minorHAnsi"/>
          <w:b/>
          <w:smallCaps/>
          <w:shadow/>
          <w:sz w:val="23"/>
          <w:szCs w:val="23"/>
          <w:highlight w:val="cyan"/>
        </w:rPr>
        <w:t>Επιχειρήσεων</w:t>
      </w:r>
      <w:r w:rsidRPr="007D4F78">
        <w:rPr>
          <w:rFonts w:cstheme="minorHAnsi"/>
          <w:b/>
          <w:smallCaps/>
          <w:shadow/>
          <w:sz w:val="23"/>
          <w:szCs w:val="23"/>
          <w:highlight w:val="cyan"/>
        </w:rPr>
        <w:t xml:space="preserve"> </w:t>
      </w:r>
    </w:p>
    <w:p w:rsidR="002C0120" w:rsidRPr="00D63F2F" w:rsidRDefault="00E2768C" w:rsidP="00AF7BF1">
      <w:pPr>
        <w:spacing w:after="0" w:line="320" w:lineRule="atLeast"/>
        <w:ind w:firstLine="357"/>
        <w:jc w:val="both"/>
        <w:rPr>
          <w:rFonts w:cstheme="minorHAnsi"/>
        </w:rPr>
      </w:pPr>
      <w:r w:rsidRPr="007D4F78">
        <w:rPr>
          <w:rFonts w:cstheme="minorHAnsi"/>
          <w:highlight w:val="cyan"/>
        </w:rPr>
        <w:t xml:space="preserve">Με βάση τα οριστικά αποτελέσματα </w:t>
      </w:r>
      <w:r w:rsidR="00310ADC" w:rsidRPr="002B2CB7">
        <w:rPr>
          <w:rFonts w:cstheme="minorHAnsi"/>
          <w:highlight w:val="cyan"/>
        </w:rPr>
        <w:t xml:space="preserve">(μετά δηλαδή την εξέταση των ενστάσεων) </w:t>
      </w:r>
      <w:r w:rsidRPr="002B2CB7">
        <w:rPr>
          <w:rFonts w:cstheme="minorHAnsi"/>
          <w:highlight w:val="cyan"/>
        </w:rPr>
        <w:t>εντάχ</w:t>
      </w:r>
      <w:r w:rsidR="00310ADC" w:rsidRPr="002B2CB7">
        <w:rPr>
          <w:rFonts w:cstheme="minorHAnsi"/>
          <w:highlight w:val="cyan"/>
        </w:rPr>
        <w:t>θ</w:t>
      </w:r>
      <w:r w:rsidRPr="002B2CB7">
        <w:rPr>
          <w:rFonts w:cstheme="minorHAnsi"/>
          <w:highlight w:val="cyan"/>
        </w:rPr>
        <w:t xml:space="preserve">ηκαν </w:t>
      </w:r>
      <w:r w:rsidR="002B2CB7" w:rsidRPr="00246E05">
        <w:rPr>
          <w:rFonts w:eastAsia="Calibri" w:cstheme="minorHAnsi"/>
          <w:b/>
          <w:color w:val="000000"/>
          <w:highlight w:val="cyan"/>
          <w:shd w:val="clear" w:color="auto" w:fill="FFFFFF"/>
        </w:rPr>
        <w:t>746</w:t>
      </w:r>
      <w:r w:rsidRPr="002B2CB7">
        <w:rPr>
          <w:rFonts w:cstheme="minorHAnsi"/>
          <w:highlight w:val="cyan"/>
        </w:rPr>
        <w:t xml:space="preserve"> </w:t>
      </w:r>
      <w:r w:rsidR="00310ADC" w:rsidRPr="002B2CB7">
        <w:rPr>
          <w:rFonts w:cstheme="minorHAnsi"/>
          <w:highlight w:val="cyan"/>
        </w:rPr>
        <w:t xml:space="preserve">επενδυτικά σχέδια συνολικού επιχορηγούμενου προϋπολογισμού </w:t>
      </w:r>
      <w:r w:rsidR="002B2CB7" w:rsidRPr="002B2CB7">
        <w:rPr>
          <w:rFonts w:cstheme="minorHAnsi"/>
          <w:b/>
          <w:bCs/>
          <w:highlight w:val="cyan"/>
        </w:rPr>
        <w:t xml:space="preserve">98.127.008,38 </w:t>
      </w:r>
      <w:r w:rsidR="00310ADC" w:rsidRPr="002B2CB7">
        <w:rPr>
          <w:rFonts w:cstheme="minorHAnsi"/>
          <w:highlight w:val="cyan"/>
        </w:rPr>
        <w:t xml:space="preserve">ευρώ και συνολικής δημόσιας δαπάνης </w:t>
      </w:r>
      <w:r w:rsidR="002B2CB7" w:rsidRPr="002B2CB7">
        <w:rPr>
          <w:rFonts w:cstheme="minorHAnsi"/>
          <w:b/>
          <w:bCs/>
          <w:highlight w:val="cyan"/>
        </w:rPr>
        <w:t xml:space="preserve">44.843.925,14 </w:t>
      </w:r>
      <w:r w:rsidR="00310ADC" w:rsidRPr="00246E05">
        <w:rPr>
          <w:rFonts w:cstheme="minorHAnsi"/>
          <w:highlight w:val="cyan"/>
        </w:rPr>
        <w:t>ευρώ</w:t>
      </w:r>
      <w:r w:rsidR="00D63F2F" w:rsidRPr="00246E05">
        <w:rPr>
          <w:rFonts w:cstheme="minorHAnsi"/>
          <w:highlight w:val="cyan"/>
        </w:rPr>
        <w:t>.</w:t>
      </w:r>
      <w:r w:rsidR="0092720C" w:rsidRPr="00246E05">
        <w:rPr>
          <w:rFonts w:ascii="Arial" w:hAnsi="Arial" w:cs="Arial"/>
          <w:b/>
          <w:highlight w:val="cyan"/>
        </w:rPr>
        <w:t xml:space="preserve"> </w:t>
      </w:r>
      <w:r w:rsidRPr="00246E05">
        <w:rPr>
          <w:rFonts w:cstheme="minorHAnsi"/>
          <w:highlight w:val="cyan"/>
        </w:rPr>
        <w:t xml:space="preserve">Η αρχικά </w:t>
      </w:r>
      <w:r w:rsidRPr="00592529">
        <w:rPr>
          <w:rFonts w:cstheme="minorHAnsi"/>
          <w:highlight w:val="cyan"/>
        </w:rPr>
        <w:t xml:space="preserve">προβλεπόμενη χρονική διάρκεια υλοποίησης των ενταγμένων επενδυτικών έργων προσδιορίσθηκε </w:t>
      </w:r>
      <w:r w:rsidR="000C313C" w:rsidRPr="000C313C">
        <w:rPr>
          <w:rFonts w:cstheme="minorHAnsi"/>
          <w:highlight w:val="cyan"/>
        </w:rPr>
        <w:t>στους 18</w:t>
      </w:r>
      <w:r w:rsidRPr="000C313C">
        <w:rPr>
          <w:rFonts w:cstheme="minorHAnsi"/>
          <w:highlight w:val="cyan"/>
        </w:rPr>
        <w:t xml:space="preserve"> </w:t>
      </w:r>
      <w:r w:rsidRPr="009A78F8">
        <w:rPr>
          <w:rFonts w:cstheme="minorHAnsi"/>
          <w:highlight w:val="cyan"/>
        </w:rPr>
        <w:t xml:space="preserve">μήνες, </w:t>
      </w:r>
      <w:r w:rsidR="00B274D7" w:rsidRPr="009A78F8">
        <w:rPr>
          <w:rFonts w:cstheme="minorHAnsi"/>
          <w:highlight w:val="cyan"/>
        </w:rPr>
        <w:t xml:space="preserve">αλλά κατόπιν </w:t>
      </w:r>
      <w:r w:rsidR="009A78F8" w:rsidRPr="009A78F8">
        <w:rPr>
          <w:rFonts w:cstheme="minorHAnsi"/>
          <w:highlight w:val="cyan"/>
        </w:rPr>
        <w:t xml:space="preserve">αποφάσεων </w:t>
      </w:r>
      <w:r w:rsidR="00B274D7" w:rsidRPr="009A78F8">
        <w:rPr>
          <w:rFonts w:cstheme="minorHAnsi"/>
          <w:highlight w:val="cyan"/>
        </w:rPr>
        <w:t xml:space="preserve">χορήγησης πολλών παρατάσεων η </w:t>
      </w:r>
      <w:r w:rsidR="009A78F8" w:rsidRPr="009A78F8">
        <w:rPr>
          <w:rFonts w:cstheme="minorHAnsi"/>
          <w:highlight w:val="cyan"/>
        </w:rPr>
        <w:t>οριστική ημερομηνία</w:t>
      </w:r>
      <w:r w:rsidR="00B274D7" w:rsidRPr="009A78F8">
        <w:rPr>
          <w:rFonts w:cstheme="minorHAnsi"/>
          <w:highlight w:val="cyan"/>
        </w:rPr>
        <w:t xml:space="preserve"> ολοκλήρωσης των ενταγμένων έργων προσδιορίστηκε στις</w:t>
      </w:r>
      <w:r w:rsidRPr="009A78F8">
        <w:rPr>
          <w:rFonts w:cstheme="minorHAnsi"/>
          <w:highlight w:val="cyan"/>
        </w:rPr>
        <w:t xml:space="preserve"> 30-12-2015 (καταληκτική ημερομηνία </w:t>
      </w:r>
      <w:proofErr w:type="spellStart"/>
      <w:r w:rsidRPr="009A78F8">
        <w:rPr>
          <w:rFonts w:cstheme="minorHAnsi"/>
          <w:highlight w:val="cyan"/>
        </w:rPr>
        <w:t>επιλεξιμότητας</w:t>
      </w:r>
      <w:proofErr w:type="spellEnd"/>
      <w:r w:rsidRPr="009A78F8">
        <w:rPr>
          <w:rFonts w:cstheme="minorHAnsi"/>
          <w:highlight w:val="cyan"/>
        </w:rPr>
        <w:t xml:space="preserve"> δαπανών ΕΣΠΑ 2007-2013)</w:t>
      </w:r>
      <w:r w:rsidR="0092720C" w:rsidRPr="009A78F8">
        <w:rPr>
          <w:rFonts w:cstheme="minorHAnsi"/>
          <w:highlight w:val="cyan"/>
        </w:rPr>
        <w:t xml:space="preserve">. Οι συγκεκριμένες παρατάσεις </w:t>
      </w:r>
      <w:r w:rsidR="009A78F8" w:rsidRPr="009A78F8">
        <w:rPr>
          <w:rFonts w:cstheme="minorHAnsi"/>
          <w:highlight w:val="cyan"/>
        </w:rPr>
        <w:t>χορηγήθηκαν</w:t>
      </w:r>
      <w:r w:rsidR="0092720C" w:rsidRPr="009A78F8">
        <w:rPr>
          <w:rFonts w:cstheme="minorHAnsi"/>
          <w:highlight w:val="cyan"/>
        </w:rPr>
        <w:t xml:space="preserve"> μετά από αιτήματα των παραγωγικών φορέων προκειμένου να διευκολυνθούν οι επιχειρήσεις που αντιμετώπιζαν επιπλέον προβλήματα ρευστότητας </w:t>
      </w:r>
      <w:r w:rsidR="009A78F8">
        <w:rPr>
          <w:rFonts w:cstheme="minorHAnsi"/>
          <w:highlight w:val="cyan"/>
        </w:rPr>
        <w:t xml:space="preserve">κυρίως </w:t>
      </w:r>
      <w:r w:rsidR="0092720C" w:rsidRPr="009A78F8">
        <w:rPr>
          <w:rFonts w:cstheme="minorHAnsi"/>
          <w:highlight w:val="cyan"/>
        </w:rPr>
        <w:t>λόγω των ελέγχων στις ροές κεφαλαίων (</w:t>
      </w:r>
      <w:r w:rsidR="0092720C" w:rsidRPr="009A78F8">
        <w:rPr>
          <w:rFonts w:cstheme="minorHAnsi"/>
          <w:highlight w:val="cyan"/>
          <w:lang w:val="en-US"/>
        </w:rPr>
        <w:t>capital</w:t>
      </w:r>
      <w:r w:rsidR="0092720C" w:rsidRPr="009A78F8">
        <w:rPr>
          <w:rFonts w:cstheme="minorHAnsi"/>
          <w:highlight w:val="cyan"/>
        </w:rPr>
        <w:t xml:space="preserve"> </w:t>
      </w:r>
      <w:r w:rsidR="0092720C" w:rsidRPr="009A78F8">
        <w:rPr>
          <w:rFonts w:cstheme="minorHAnsi"/>
          <w:highlight w:val="cyan"/>
          <w:lang w:val="en-US"/>
        </w:rPr>
        <w:t>controls</w:t>
      </w:r>
      <w:r w:rsidR="0092720C" w:rsidRPr="009A78F8">
        <w:rPr>
          <w:rFonts w:cstheme="minorHAnsi"/>
          <w:highlight w:val="cyan"/>
        </w:rPr>
        <w:t>) που επιβλήθηκαν στις ελληνικές τράπεζες τον Ιούνιο του 2015</w:t>
      </w:r>
      <w:r w:rsidRPr="009A78F8">
        <w:rPr>
          <w:rFonts w:cstheme="minorHAnsi"/>
          <w:highlight w:val="cyan"/>
        </w:rPr>
        <w:t>.</w:t>
      </w:r>
    </w:p>
    <w:p w:rsidR="002C0120" w:rsidRDefault="002C0120" w:rsidP="00AF7BF1">
      <w:pPr>
        <w:spacing w:line="320" w:lineRule="atLeast"/>
        <w:ind w:firstLine="360"/>
        <w:jc w:val="both"/>
        <w:rPr>
          <w:rFonts w:cstheme="minorHAnsi"/>
        </w:rPr>
      </w:pPr>
      <w:r w:rsidRPr="00E055A7">
        <w:rPr>
          <w:rFonts w:cstheme="minorHAnsi"/>
          <w:highlight w:val="cyan"/>
        </w:rPr>
        <w:t xml:space="preserve">Με την υπ’ αριθ. </w:t>
      </w:r>
      <w:proofErr w:type="spellStart"/>
      <w:r w:rsidRPr="00E055A7">
        <w:rPr>
          <w:rFonts w:cstheme="minorHAnsi"/>
          <w:highlight w:val="cyan"/>
        </w:rPr>
        <w:t>πρωτ</w:t>
      </w:r>
      <w:proofErr w:type="spellEnd"/>
      <w:r w:rsidRPr="00E055A7">
        <w:rPr>
          <w:rFonts w:cstheme="minorHAnsi"/>
          <w:highlight w:val="cyan"/>
        </w:rPr>
        <w:t xml:space="preserve">. </w:t>
      </w:r>
      <w:r w:rsidR="00E055A7" w:rsidRPr="00E055A7">
        <w:rPr>
          <w:rFonts w:cstheme="minorHAnsi"/>
          <w:highlight w:val="cyan"/>
        </w:rPr>
        <w:t xml:space="preserve">Οικ. 54395/235/15-05-2017 απόφαση (ΑΔΑ: 6ΩΣΜ465ΧΙ8-ΣΗΕ) </w:t>
      </w:r>
      <w:r w:rsidRPr="00E055A7">
        <w:rPr>
          <w:rFonts w:cstheme="minorHAnsi"/>
          <w:highlight w:val="cyan"/>
        </w:rPr>
        <w:t xml:space="preserve">απόφαση όπως συμπληρώθηκε με την </w:t>
      </w:r>
      <w:proofErr w:type="spellStart"/>
      <w:r w:rsidRPr="00E055A7">
        <w:rPr>
          <w:rFonts w:cstheme="minorHAnsi"/>
          <w:highlight w:val="cyan"/>
        </w:rPr>
        <w:t>υπ΄</w:t>
      </w:r>
      <w:proofErr w:type="spellEnd"/>
      <w:r w:rsidRPr="00E055A7">
        <w:rPr>
          <w:rFonts w:cstheme="minorHAnsi"/>
          <w:highlight w:val="cyan"/>
        </w:rPr>
        <w:t xml:space="preserve"> αριθ. </w:t>
      </w:r>
      <w:proofErr w:type="spellStart"/>
      <w:r w:rsidRPr="00E055A7">
        <w:rPr>
          <w:rFonts w:cstheme="minorHAnsi"/>
          <w:highlight w:val="cyan"/>
        </w:rPr>
        <w:t>πρωτ</w:t>
      </w:r>
      <w:proofErr w:type="spellEnd"/>
      <w:r w:rsidRPr="00E055A7">
        <w:rPr>
          <w:rFonts w:cstheme="minorHAnsi"/>
          <w:highlight w:val="cyan"/>
        </w:rPr>
        <w:t xml:space="preserve">. </w:t>
      </w:r>
      <w:proofErr w:type="spellStart"/>
      <w:r w:rsidR="00E055A7" w:rsidRPr="00E055A7">
        <w:rPr>
          <w:rFonts w:cstheme="minorHAnsi"/>
          <w:highlight w:val="cyan"/>
        </w:rPr>
        <w:t>Οικ</w:t>
      </w:r>
      <w:proofErr w:type="spellEnd"/>
      <w:r w:rsidR="00E055A7" w:rsidRPr="00E055A7">
        <w:rPr>
          <w:rFonts w:cstheme="minorHAnsi"/>
          <w:highlight w:val="cyan"/>
        </w:rPr>
        <w:t xml:space="preserve"> 66752/273/14-06-2017 (ΑΔΑ: 7ΛΣΝ465ΧΙ8-ΑΧΠ) </w:t>
      </w:r>
      <w:r w:rsidR="00310ADC" w:rsidRPr="00E055A7">
        <w:rPr>
          <w:rFonts w:cstheme="minorHAnsi"/>
          <w:highlight w:val="cyan"/>
        </w:rPr>
        <w:t xml:space="preserve">το πρόγραμμα </w:t>
      </w:r>
      <w:r w:rsidRPr="00E055A7">
        <w:rPr>
          <w:rFonts w:cstheme="minorHAnsi"/>
          <w:highlight w:val="cyan"/>
        </w:rPr>
        <w:t>ολοκληρώθηκε</w:t>
      </w:r>
      <w:r w:rsidR="00310ADC" w:rsidRPr="00E055A7">
        <w:rPr>
          <w:rFonts w:cstheme="minorHAnsi"/>
          <w:highlight w:val="cyan"/>
        </w:rPr>
        <w:t xml:space="preserve"> παρουσιάζοντας συνοπτικά τα ακόλουθα </w:t>
      </w:r>
      <w:r w:rsidR="006578FB" w:rsidRPr="00E055A7">
        <w:rPr>
          <w:rFonts w:cstheme="minorHAnsi"/>
          <w:highlight w:val="cyan"/>
        </w:rPr>
        <w:t xml:space="preserve">συγκεντρωτικά </w:t>
      </w:r>
      <w:r w:rsidR="00310ADC" w:rsidRPr="00E055A7">
        <w:rPr>
          <w:rFonts w:cstheme="minorHAnsi"/>
          <w:highlight w:val="cyan"/>
        </w:rPr>
        <w:t>αποτελέσματα:</w:t>
      </w:r>
    </w:p>
    <w:p w:rsidR="002B2CB7" w:rsidRPr="007D4F78" w:rsidRDefault="002B2CB7" w:rsidP="00AF7BF1">
      <w:pPr>
        <w:spacing w:after="0" w:line="320" w:lineRule="atLeast"/>
        <w:jc w:val="both"/>
        <w:rPr>
          <w:rFonts w:cstheme="minorHAnsi"/>
          <w:b/>
          <w:smallCaps/>
          <w:shadow/>
          <w:sz w:val="23"/>
          <w:szCs w:val="23"/>
        </w:rPr>
      </w:pPr>
      <w:r w:rsidRPr="007D4F78">
        <w:rPr>
          <w:rFonts w:cstheme="minorHAnsi"/>
          <w:b/>
          <w:smallCaps/>
          <w:shadow/>
          <w:sz w:val="23"/>
          <w:szCs w:val="23"/>
          <w:highlight w:val="cyan"/>
        </w:rPr>
        <w:t>Ολοκλήρωση Έργων</w:t>
      </w:r>
      <w:r w:rsidR="00160405" w:rsidRPr="007D4F78">
        <w:rPr>
          <w:rFonts w:cstheme="minorHAnsi"/>
          <w:b/>
          <w:smallCaps/>
          <w:shadow/>
          <w:sz w:val="23"/>
          <w:szCs w:val="23"/>
          <w:highlight w:val="cyan"/>
        </w:rPr>
        <w:t xml:space="preserve"> – Συγκεντρωτικά Αποτελέσματα</w:t>
      </w:r>
    </w:p>
    <w:p w:rsidR="004771D2" w:rsidRDefault="00203EDD" w:rsidP="00AF7BF1">
      <w:pPr>
        <w:spacing w:after="0" w:line="320" w:lineRule="atLeast"/>
        <w:ind w:firstLine="360"/>
        <w:jc w:val="both"/>
        <w:rPr>
          <w:rFonts w:cstheme="minorHAnsi"/>
        </w:rPr>
      </w:pPr>
      <w:r w:rsidRPr="00D50012">
        <w:rPr>
          <w:rFonts w:cstheme="minorHAnsi"/>
          <w:highlight w:val="cyan"/>
        </w:rPr>
        <w:t xml:space="preserve">Ολοκληρώθηκαν </w:t>
      </w:r>
      <w:r w:rsidRPr="006F6B3A">
        <w:rPr>
          <w:rFonts w:cstheme="minorHAnsi"/>
          <w:highlight w:val="cyan"/>
        </w:rPr>
        <w:t xml:space="preserve">συνολικά </w:t>
      </w:r>
      <w:r w:rsidR="00D50012" w:rsidRPr="006F6B3A">
        <w:rPr>
          <w:b/>
          <w:bCs/>
          <w:highlight w:val="cyan"/>
        </w:rPr>
        <w:t xml:space="preserve">486 </w:t>
      </w:r>
      <w:r w:rsidRPr="006F6B3A">
        <w:rPr>
          <w:rFonts w:cstheme="minorHAnsi"/>
          <w:highlight w:val="cyan"/>
        </w:rPr>
        <w:t>επενδυτικά έργα</w:t>
      </w:r>
      <w:r w:rsidR="00D0330F" w:rsidRPr="006F6B3A">
        <w:rPr>
          <w:rFonts w:cstheme="minorHAnsi"/>
          <w:highlight w:val="cyan"/>
        </w:rPr>
        <w:t xml:space="preserve"> </w:t>
      </w:r>
      <w:r w:rsidR="00FC49FF" w:rsidRPr="006F6B3A">
        <w:rPr>
          <w:rFonts w:cstheme="minorHAnsi"/>
          <w:highlight w:val="cyan"/>
        </w:rPr>
        <w:t xml:space="preserve">που αντιστοιχούν στο </w:t>
      </w:r>
      <w:r w:rsidR="00FC49FF" w:rsidRPr="006F6B3A">
        <w:rPr>
          <w:rFonts w:cstheme="minorHAnsi"/>
          <w:strike/>
          <w:highlight w:val="red"/>
        </w:rPr>
        <w:t>54,6%</w:t>
      </w:r>
      <w:r w:rsidR="00FC49FF" w:rsidRPr="006F6B3A">
        <w:rPr>
          <w:rFonts w:cstheme="minorHAnsi"/>
          <w:highlight w:val="red"/>
        </w:rPr>
        <w:t xml:space="preserve"> </w:t>
      </w:r>
      <w:r w:rsidR="00FC49FF" w:rsidRPr="006F6B3A">
        <w:rPr>
          <w:rFonts w:cstheme="minorHAnsi"/>
          <w:highlight w:val="cyan"/>
        </w:rPr>
        <w:t>των εντάξεων</w:t>
      </w:r>
      <w:r w:rsidRPr="006F6B3A">
        <w:rPr>
          <w:rFonts w:cstheme="minorHAnsi"/>
          <w:highlight w:val="cyan"/>
        </w:rPr>
        <w:t xml:space="preserve">, συνολικού προϋπολογισμού </w:t>
      </w:r>
      <w:r w:rsidR="00D50012" w:rsidRPr="006F6B3A">
        <w:rPr>
          <w:b/>
          <w:bCs/>
          <w:highlight w:val="cyan"/>
        </w:rPr>
        <w:t xml:space="preserve">55.272.420,15 </w:t>
      </w:r>
      <w:r w:rsidR="00D50012" w:rsidRPr="006F6B3A">
        <w:rPr>
          <w:highlight w:val="cyan"/>
        </w:rPr>
        <w:t>ευρώ</w:t>
      </w:r>
      <w:r w:rsidRPr="006F6B3A">
        <w:rPr>
          <w:rFonts w:cstheme="minorHAnsi"/>
          <w:highlight w:val="cyan"/>
        </w:rPr>
        <w:t xml:space="preserve">, συνολικού επιχορηγούμενου προϋπολογισμού </w:t>
      </w:r>
      <w:r w:rsidR="00D50012" w:rsidRPr="006F6B3A">
        <w:rPr>
          <w:rFonts w:cstheme="minorHAnsi"/>
          <w:b/>
          <w:bCs/>
          <w:highlight w:val="cyan"/>
        </w:rPr>
        <w:t xml:space="preserve">54.052.310,96 </w:t>
      </w:r>
      <w:r w:rsidRPr="006F6B3A">
        <w:rPr>
          <w:rFonts w:cstheme="minorHAnsi"/>
          <w:highlight w:val="cyan"/>
        </w:rPr>
        <w:t>ευρώ</w:t>
      </w:r>
      <w:r w:rsidR="00FC49FF" w:rsidRPr="006F6B3A">
        <w:rPr>
          <w:rFonts w:cstheme="minorHAnsi"/>
          <w:highlight w:val="cyan"/>
        </w:rPr>
        <w:t xml:space="preserve"> (</w:t>
      </w:r>
      <w:r w:rsidR="00FC49FF" w:rsidRPr="006F6B3A">
        <w:rPr>
          <w:rFonts w:cstheme="minorHAnsi"/>
          <w:strike/>
          <w:highlight w:val="red"/>
        </w:rPr>
        <w:t>49,36%</w:t>
      </w:r>
      <w:r w:rsidR="00FC49FF" w:rsidRPr="006F6B3A">
        <w:rPr>
          <w:rFonts w:cstheme="minorHAnsi"/>
          <w:highlight w:val="red"/>
        </w:rPr>
        <w:t xml:space="preserve"> </w:t>
      </w:r>
      <w:r w:rsidR="00FC49FF" w:rsidRPr="006F6B3A">
        <w:rPr>
          <w:rFonts w:cstheme="minorHAnsi"/>
          <w:highlight w:val="cyan"/>
        </w:rPr>
        <w:t xml:space="preserve">του επιχορηγούμενου προϋπολογισμού των εντάξεων) και </w:t>
      </w:r>
      <w:r w:rsidRPr="006F6B3A">
        <w:rPr>
          <w:rFonts w:cstheme="minorHAnsi"/>
          <w:highlight w:val="cyan"/>
        </w:rPr>
        <w:t xml:space="preserve">συνολικής δημόσιας δαπάνης </w:t>
      </w:r>
      <w:r w:rsidR="00D50012" w:rsidRPr="006F6B3A">
        <w:rPr>
          <w:b/>
          <w:bCs/>
          <w:highlight w:val="cyan"/>
        </w:rPr>
        <w:t xml:space="preserve">24.551.124,91 </w:t>
      </w:r>
      <w:r w:rsidRPr="006F6B3A">
        <w:rPr>
          <w:rFonts w:cstheme="minorHAnsi"/>
          <w:highlight w:val="cyan"/>
        </w:rPr>
        <w:t>ευρώ</w:t>
      </w:r>
      <w:r w:rsidR="00FC49FF" w:rsidRPr="006F6B3A">
        <w:rPr>
          <w:rFonts w:cstheme="minorHAnsi"/>
          <w:highlight w:val="cyan"/>
        </w:rPr>
        <w:t xml:space="preserve"> </w:t>
      </w:r>
      <w:r w:rsidR="00FC49FF" w:rsidRPr="006F6B3A">
        <w:rPr>
          <w:rFonts w:cstheme="minorHAnsi"/>
          <w:highlight w:val="yellow"/>
        </w:rPr>
        <w:t>(</w:t>
      </w:r>
      <w:r w:rsidR="00FC49FF" w:rsidRPr="006F6B3A">
        <w:rPr>
          <w:rFonts w:cstheme="minorHAnsi"/>
          <w:strike/>
          <w:highlight w:val="red"/>
        </w:rPr>
        <w:t>46,97%</w:t>
      </w:r>
      <w:r w:rsidR="00FC49FF" w:rsidRPr="006F6B3A">
        <w:rPr>
          <w:rFonts w:cstheme="minorHAnsi"/>
          <w:highlight w:val="red"/>
        </w:rPr>
        <w:t xml:space="preserve"> </w:t>
      </w:r>
      <w:r w:rsidR="00FC49FF" w:rsidRPr="006F6B3A">
        <w:rPr>
          <w:rFonts w:cstheme="minorHAnsi"/>
          <w:highlight w:val="cyan"/>
        </w:rPr>
        <w:t>του συνόλου της δημόσιας δαπάνης των εντάξεων)</w:t>
      </w:r>
      <w:r w:rsidR="004771D2">
        <w:rPr>
          <w:rFonts w:cstheme="minorHAnsi"/>
        </w:rPr>
        <w:t>.</w:t>
      </w:r>
    </w:p>
    <w:p w:rsidR="00CB3F42" w:rsidRPr="00160405" w:rsidRDefault="00B376DC" w:rsidP="00332ED4">
      <w:pPr>
        <w:spacing w:after="0" w:line="320" w:lineRule="atLeast"/>
        <w:ind w:firstLine="360"/>
        <w:jc w:val="both"/>
        <w:rPr>
          <w:rFonts w:cstheme="minorHAnsi"/>
          <w:b/>
        </w:rPr>
      </w:pPr>
      <w:r w:rsidRPr="00CA253D">
        <w:rPr>
          <w:rFonts w:cstheme="minorHAnsi"/>
          <w:highlight w:val="cyan"/>
        </w:rPr>
        <w:t xml:space="preserve">Επιπρόσθετα, στο πλαίσιο του προγράμματος δημιουργήθηκαν </w:t>
      </w:r>
      <w:r w:rsidR="00246E05" w:rsidRPr="00CA253D">
        <w:rPr>
          <w:rFonts w:cstheme="minorHAnsi"/>
          <w:highlight w:val="cyan"/>
        </w:rPr>
        <w:t>……..</w:t>
      </w:r>
      <w:r w:rsidRPr="00246E05">
        <w:rPr>
          <w:rFonts w:cstheme="minorHAnsi"/>
          <w:strike/>
          <w:highlight w:val="red"/>
        </w:rPr>
        <w:t>23</w:t>
      </w:r>
      <w:r w:rsidRPr="00160405">
        <w:rPr>
          <w:rFonts w:cstheme="minorHAnsi"/>
          <w:highlight w:val="yellow"/>
        </w:rPr>
        <w:t xml:space="preserve"> </w:t>
      </w:r>
      <w:r w:rsidRPr="00CA253D">
        <w:rPr>
          <w:rFonts w:cstheme="minorHAnsi"/>
          <w:highlight w:val="cyan"/>
        </w:rPr>
        <w:t>νέες θέσεις πλήρους απασχόλησης</w:t>
      </w:r>
      <w:r w:rsidR="00426CB7" w:rsidRPr="00CA253D">
        <w:rPr>
          <w:rFonts w:cstheme="minorHAnsi"/>
          <w:highlight w:val="cyan"/>
        </w:rPr>
        <w:t xml:space="preserve"> (η εν λόγω δαπάνη ήταν επιλέξιμη μόνο για τις νέες πολύ μικρές και μικρές επιχειρήσεις) </w:t>
      </w:r>
      <w:r w:rsidRPr="00CA253D">
        <w:rPr>
          <w:rFonts w:cstheme="minorHAnsi"/>
          <w:highlight w:val="cyan"/>
        </w:rPr>
        <w:t>και ολοκληρώθηκαν επιτυχώς</w:t>
      </w:r>
      <w:r w:rsidR="00246E05" w:rsidRPr="00CA253D">
        <w:rPr>
          <w:rFonts w:cstheme="minorHAnsi"/>
          <w:highlight w:val="cyan"/>
        </w:rPr>
        <w:t xml:space="preserve"> </w:t>
      </w:r>
      <w:r w:rsidR="00246E05">
        <w:rPr>
          <w:rFonts w:cstheme="minorHAnsi"/>
          <w:highlight w:val="yellow"/>
        </w:rPr>
        <w:t>….</w:t>
      </w:r>
      <w:r w:rsidRPr="00160405">
        <w:rPr>
          <w:rFonts w:cstheme="minorHAnsi"/>
          <w:highlight w:val="yellow"/>
        </w:rPr>
        <w:t xml:space="preserve"> </w:t>
      </w:r>
      <w:r w:rsidRPr="00246E05">
        <w:rPr>
          <w:rFonts w:cstheme="minorHAnsi"/>
          <w:strike/>
          <w:highlight w:val="red"/>
        </w:rPr>
        <w:t>8</w:t>
      </w:r>
      <w:r w:rsidRPr="00160405">
        <w:rPr>
          <w:rFonts w:cstheme="minorHAnsi"/>
          <w:highlight w:val="yellow"/>
        </w:rPr>
        <w:t xml:space="preserve"> </w:t>
      </w:r>
      <w:r w:rsidRPr="00CA253D">
        <w:rPr>
          <w:rFonts w:cstheme="minorHAnsi"/>
          <w:highlight w:val="cyan"/>
        </w:rPr>
        <w:t>συνεργασίες μεταξύ μεγάλων, μεσαίων και μικρών, πο</w:t>
      </w:r>
      <w:r w:rsidR="00426CB7" w:rsidRPr="00CA253D">
        <w:rPr>
          <w:rFonts w:cstheme="minorHAnsi"/>
          <w:highlight w:val="cyan"/>
        </w:rPr>
        <w:t>λ</w:t>
      </w:r>
      <w:r w:rsidRPr="00CA253D">
        <w:rPr>
          <w:rFonts w:cstheme="minorHAnsi"/>
          <w:highlight w:val="cyan"/>
        </w:rPr>
        <w:t xml:space="preserve">ύ μικρών επιχειρήσεων. Τέλος, </w:t>
      </w:r>
      <w:proofErr w:type="spellStart"/>
      <w:r w:rsidR="00203EDD" w:rsidRPr="00CA253D">
        <w:rPr>
          <w:rFonts w:cstheme="minorHAnsi"/>
          <w:highlight w:val="cyan"/>
        </w:rPr>
        <w:t>απεντάχθηκαν</w:t>
      </w:r>
      <w:proofErr w:type="spellEnd"/>
      <w:r w:rsidR="00203EDD" w:rsidRPr="00CA253D">
        <w:rPr>
          <w:rFonts w:cstheme="minorHAnsi"/>
          <w:highlight w:val="cyan"/>
        </w:rPr>
        <w:t xml:space="preserve"> από το πρόγραμμα </w:t>
      </w:r>
      <w:r w:rsidR="00203EDD" w:rsidRPr="004771D2">
        <w:rPr>
          <w:rFonts w:cstheme="minorHAnsi"/>
          <w:highlight w:val="cyan"/>
        </w:rPr>
        <w:t xml:space="preserve">συνολικά </w:t>
      </w:r>
      <w:r w:rsidR="006F6B3A" w:rsidRPr="00332ED4">
        <w:rPr>
          <w:rFonts w:cstheme="minorHAnsi"/>
          <w:b/>
          <w:highlight w:val="cyan"/>
        </w:rPr>
        <w:t>261</w:t>
      </w:r>
      <w:r w:rsidR="006F6B3A" w:rsidRPr="004771D2">
        <w:rPr>
          <w:rFonts w:cstheme="minorHAnsi"/>
          <w:highlight w:val="cyan"/>
        </w:rPr>
        <w:t xml:space="preserve"> </w:t>
      </w:r>
      <w:r w:rsidR="00203EDD" w:rsidRPr="00246E05">
        <w:rPr>
          <w:rFonts w:cstheme="minorHAnsi"/>
          <w:strike/>
          <w:highlight w:val="red"/>
        </w:rPr>
        <w:t>405</w:t>
      </w:r>
      <w:r w:rsidR="00203EDD" w:rsidRPr="00160405">
        <w:rPr>
          <w:rFonts w:cstheme="minorHAnsi"/>
          <w:highlight w:val="yellow"/>
        </w:rPr>
        <w:t xml:space="preserve"> </w:t>
      </w:r>
      <w:r w:rsidR="00203EDD" w:rsidRPr="00CA253D">
        <w:rPr>
          <w:rFonts w:cstheme="minorHAnsi"/>
          <w:highlight w:val="cyan"/>
        </w:rPr>
        <w:t>επενδυτικά έργα</w:t>
      </w:r>
      <w:r w:rsidR="00FC49FF" w:rsidRPr="00CA253D">
        <w:rPr>
          <w:rFonts w:cstheme="minorHAnsi"/>
          <w:highlight w:val="cyan"/>
        </w:rPr>
        <w:t xml:space="preserve"> </w:t>
      </w:r>
      <w:r w:rsidR="00FC49FF" w:rsidRPr="00160405">
        <w:rPr>
          <w:rFonts w:cstheme="minorHAnsi"/>
          <w:highlight w:val="yellow"/>
        </w:rPr>
        <w:t>(</w:t>
      </w:r>
      <w:r w:rsidR="00FC49FF" w:rsidRPr="00246E05">
        <w:rPr>
          <w:rFonts w:cstheme="minorHAnsi"/>
          <w:strike/>
          <w:highlight w:val="red"/>
        </w:rPr>
        <w:t>45,4%</w:t>
      </w:r>
      <w:r w:rsidR="00FC49FF" w:rsidRPr="00246E05">
        <w:rPr>
          <w:rFonts w:cstheme="minorHAnsi"/>
          <w:highlight w:val="red"/>
        </w:rPr>
        <w:t xml:space="preserve"> </w:t>
      </w:r>
      <w:r w:rsidR="00FC49FF" w:rsidRPr="00CA253D">
        <w:rPr>
          <w:rFonts w:cstheme="minorHAnsi"/>
          <w:highlight w:val="cyan"/>
        </w:rPr>
        <w:t>των εντάξεων)</w:t>
      </w:r>
      <w:r w:rsidR="0045249C" w:rsidRPr="00CA253D">
        <w:rPr>
          <w:rFonts w:cstheme="minorHAnsi"/>
          <w:highlight w:val="cyan"/>
        </w:rPr>
        <w:t>.</w:t>
      </w:r>
      <w:r w:rsidR="00310ADC" w:rsidRPr="00CA253D">
        <w:rPr>
          <w:rFonts w:cstheme="minorHAnsi"/>
          <w:highlight w:val="cyan"/>
        </w:rPr>
        <w:t xml:space="preserve"> </w:t>
      </w:r>
      <w:r w:rsidR="0045249C" w:rsidRPr="00CA253D">
        <w:rPr>
          <w:rFonts w:cstheme="minorHAnsi"/>
          <w:highlight w:val="cyan"/>
        </w:rPr>
        <w:t xml:space="preserve">Οι </w:t>
      </w:r>
      <w:proofErr w:type="spellStart"/>
      <w:r w:rsidR="0045249C" w:rsidRPr="00246E05">
        <w:rPr>
          <w:rFonts w:cstheme="minorHAnsi"/>
          <w:highlight w:val="cyan"/>
        </w:rPr>
        <w:t>απεντάξεις</w:t>
      </w:r>
      <w:proofErr w:type="spellEnd"/>
      <w:r w:rsidR="0045249C" w:rsidRPr="00246E05">
        <w:rPr>
          <w:rFonts w:cstheme="minorHAnsi"/>
          <w:highlight w:val="cyan"/>
        </w:rPr>
        <w:t xml:space="preserve"> </w:t>
      </w:r>
      <w:r w:rsidR="00264C34" w:rsidRPr="00246E05">
        <w:rPr>
          <w:rFonts w:cstheme="minorHAnsi"/>
          <w:highlight w:val="cyan"/>
        </w:rPr>
        <w:t>οφείλονταν</w:t>
      </w:r>
      <w:r w:rsidR="0045249C" w:rsidRPr="00246E05">
        <w:rPr>
          <w:rFonts w:cstheme="minorHAnsi"/>
          <w:highlight w:val="cyan"/>
        </w:rPr>
        <w:t xml:space="preserve"> κατά κύριο λόγο σε</w:t>
      </w:r>
      <w:r w:rsidR="00264C34" w:rsidRPr="00246E05">
        <w:rPr>
          <w:rFonts w:cstheme="minorHAnsi"/>
          <w:highlight w:val="cyan"/>
        </w:rPr>
        <w:t xml:space="preserve"> μη υλοποίηση και σε </w:t>
      </w:r>
      <w:r w:rsidR="00310ADC" w:rsidRPr="00246E05">
        <w:rPr>
          <w:rFonts w:cstheme="minorHAnsi"/>
          <w:highlight w:val="cyan"/>
        </w:rPr>
        <w:t>παρα</w:t>
      </w:r>
      <w:r w:rsidR="00264C34" w:rsidRPr="00246E05">
        <w:rPr>
          <w:rFonts w:cstheme="minorHAnsi"/>
          <w:highlight w:val="cyan"/>
        </w:rPr>
        <w:t>ι</w:t>
      </w:r>
      <w:r w:rsidR="00310ADC" w:rsidRPr="00246E05">
        <w:rPr>
          <w:rFonts w:cstheme="minorHAnsi"/>
          <w:highlight w:val="cyan"/>
        </w:rPr>
        <w:t>τ</w:t>
      </w:r>
      <w:r w:rsidR="00264C34" w:rsidRPr="00246E05">
        <w:rPr>
          <w:rFonts w:cstheme="minorHAnsi"/>
          <w:highlight w:val="cyan"/>
        </w:rPr>
        <w:t>ή</w:t>
      </w:r>
      <w:r w:rsidR="00310ADC" w:rsidRPr="00246E05">
        <w:rPr>
          <w:rFonts w:cstheme="minorHAnsi"/>
          <w:highlight w:val="cyan"/>
        </w:rPr>
        <w:t>σ</w:t>
      </w:r>
      <w:r w:rsidR="00264C34" w:rsidRPr="00246E05">
        <w:rPr>
          <w:rFonts w:cstheme="minorHAnsi"/>
          <w:highlight w:val="cyan"/>
        </w:rPr>
        <w:t>εις</w:t>
      </w:r>
      <w:r w:rsidR="0045249C" w:rsidRPr="00246E05">
        <w:rPr>
          <w:rFonts w:cstheme="minorHAnsi"/>
          <w:highlight w:val="cyan"/>
        </w:rPr>
        <w:t xml:space="preserve"> δικαιούχων, καθώς</w:t>
      </w:r>
      <w:r w:rsidR="00310ADC" w:rsidRPr="00246E05">
        <w:rPr>
          <w:rFonts w:cstheme="minorHAnsi"/>
          <w:highlight w:val="cyan"/>
        </w:rPr>
        <w:t xml:space="preserve"> </w:t>
      </w:r>
      <w:r w:rsidR="0045249C" w:rsidRPr="00246E05">
        <w:rPr>
          <w:rFonts w:cstheme="minorHAnsi"/>
          <w:highlight w:val="cyan"/>
        </w:rPr>
        <w:t>και στη</w:t>
      </w:r>
      <w:r w:rsidR="00310ADC" w:rsidRPr="00246E05">
        <w:rPr>
          <w:rFonts w:cstheme="minorHAnsi"/>
          <w:highlight w:val="cyan"/>
        </w:rPr>
        <w:t xml:space="preserve"> μη τήρηση των όρων υλοποίησης του προγράμματος</w:t>
      </w:r>
      <w:r w:rsidR="0045249C" w:rsidRPr="00246E05">
        <w:rPr>
          <w:rFonts w:cstheme="minorHAnsi"/>
          <w:highlight w:val="cyan"/>
        </w:rPr>
        <w:t xml:space="preserve"> και ειδικότερα, λόγω</w:t>
      </w:r>
      <w:r w:rsidR="00310ADC" w:rsidRPr="00246E05">
        <w:rPr>
          <w:rFonts w:cstheme="minorHAnsi"/>
          <w:highlight w:val="cyan"/>
        </w:rPr>
        <w:t xml:space="preserve"> μη προσκόμιση</w:t>
      </w:r>
      <w:r w:rsidR="0045249C" w:rsidRPr="00246E05">
        <w:rPr>
          <w:rFonts w:cstheme="minorHAnsi"/>
          <w:highlight w:val="cyan"/>
        </w:rPr>
        <w:t>ς</w:t>
      </w:r>
      <w:r w:rsidR="00310ADC" w:rsidRPr="00246E05">
        <w:rPr>
          <w:rFonts w:cstheme="minorHAnsi"/>
          <w:highlight w:val="cyan"/>
        </w:rPr>
        <w:t xml:space="preserve"> αδειών λειτουργίας, υπέρβαση</w:t>
      </w:r>
      <w:r w:rsidR="0045249C" w:rsidRPr="00246E05">
        <w:rPr>
          <w:rFonts w:cstheme="minorHAnsi"/>
          <w:highlight w:val="cyan"/>
        </w:rPr>
        <w:t>ς</w:t>
      </w:r>
      <w:r w:rsidR="00310ADC" w:rsidRPr="00246E05">
        <w:rPr>
          <w:rFonts w:cstheme="minorHAnsi"/>
          <w:highlight w:val="cyan"/>
        </w:rPr>
        <w:t xml:space="preserve"> ορίου χρηματοδότησης Κανονισμού </w:t>
      </w:r>
      <w:r w:rsidR="00BA150D" w:rsidRPr="00246E05">
        <w:rPr>
          <w:rFonts w:cstheme="minorHAnsi"/>
          <w:highlight w:val="cyan"/>
          <w:lang w:val="en-US"/>
        </w:rPr>
        <w:t>d</w:t>
      </w:r>
      <w:r w:rsidR="00310ADC" w:rsidRPr="00246E05">
        <w:rPr>
          <w:rFonts w:cstheme="minorHAnsi"/>
          <w:highlight w:val="cyan"/>
          <w:lang w:val="en-US"/>
        </w:rPr>
        <w:t>e</w:t>
      </w:r>
      <w:r w:rsidR="00310ADC" w:rsidRPr="00246E05">
        <w:rPr>
          <w:rFonts w:cstheme="minorHAnsi"/>
          <w:highlight w:val="cyan"/>
        </w:rPr>
        <w:t xml:space="preserve"> </w:t>
      </w:r>
      <w:proofErr w:type="spellStart"/>
      <w:r w:rsidR="00BA150D" w:rsidRPr="00246E05">
        <w:rPr>
          <w:rFonts w:cstheme="minorHAnsi"/>
          <w:highlight w:val="cyan"/>
          <w:lang w:val="en-US"/>
        </w:rPr>
        <w:t>m</w:t>
      </w:r>
      <w:r w:rsidR="00310ADC" w:rsidRPr="00246E05">
        <w:rPr>
          <w:rFonts w:cstheme="minorHAnsi"/>
          <w:highlight w:val="cyan"/>
          <w:lang w:val="en-US"/>
        </w:rPr>
        <w:t>inimis</w:t>
      </w:r>
      <w:proofErr w:type="spellEnd"/>
      <w:r w:rsidR="00264C34" w:rsidRPr="00246E05">
        <w:rPr>
          <w:rFonts w:cstheme="minorHAnsi"/>
          <w:highlight w:val="cyan"/>
        </w:rPr>
        <w:t xml:space="preserve"> και</w:t>
      </w:r>
      <w:r w:rsidR="00310ADC" w:rsidRPr="00246E05">
        <w:rPr>
          <w:rFonts w:cstheme="minorHAnsi"/>
          <w:highlight w:val="cyan"/>
        </w:rPr>
        <w:t xml:space="preserve"> περικοπ</w:t>
      </w:r>
      <w:r w:rsidR="0045249C" w:rsidRPr="00246E05">
        <w:rPr>
          <w:rFonts w:cstheme="minorHAnsi"/>
          <w:highlight w:val="cyan"/>
        </w:rPr>
        <w:t>ών</w:t>
      </w:r>
      <w:r w:rsidR="00310ADC" w:rsidRPr="00246E05">
        <w:rPr>
          <w:rFonts w:cstheme="minorHAnsi"/>
          <w:highlight w:val="cyan"/>
        </w:rPr>
        <w:t xml:space="preserve"> δαπανών </w:t>
      </w:r>
      <w:r w:rsidR="0045249C" w:rsidRPr="00246E05">
        <w:rPr>
          <w:rFonts w:cstheme="minorHAnsi"/>
          <w:highlight w:val="cyan"/>
        </w:rPr>
        <w:t xml:space="preserve">κατά τη διαδικασία διοικητικής επαλήθευσης </w:t>
      </w:r>
      <w:r w:rsidR="00310ADC" w:rsidRPr="00246E05">
        <w:rPr>
          <w:rFonts w:cstheme="minorHAnsi"/>
          <w:highlight w:val="cyan"/>
        </w:rPr>
        <w:t>με αποτέλεσμα τη μείωση του εγκεκριμένου και πιστοποιη</w:t>
      </w:r>
      <w:r w:rsidR="0045249C" w:rsidRPr="00246E05">
        <w:rPr>
          <w:rFonts w:cstheme="minorHAnsi"/>
          <w:highlight w:val="cyan"/>
        </w:rPr>
        <w:t>μένου</w:t>
      </w:r>
      <w:r w:rsidR="00310ADC" w:rsidRPr="00246E05">
        <w:rPr>
          <w:rFonts w:cstheme="minorHAnsi"/>
          <w:highlight w:val="cyan"/>
        </w:rPr>
        <w:t xml:space="preserve"> Π/Υ κάτω από το όριο των </w:t>
      </w:r>
      <w:r w:rsidR="00246E05">
        <w:rPr>
          <w:rFonts w:cstheme="minorHAnsi"/>
          <w:highlight w:val="cyan"/>
        </w:rPr>
        <w:t>3</w:t>
      </w:r>
      <w:r w:rsidR="00310ADC" w:rsidRPr="00246E05">
        <w:rPr>
          <w:rFonts w:cstheme="minorHAnsi"/>
          <w:highlight w:val="cyan"/>
        </w:rPr>
        <w:t>0.000 ευρώ που προέβλεπε ο οδηγός εφαρμογής</w:t>
      </w:r>
      <w:r w:rsidR="00203EDD" w:rsidRPr="00246E05">
        <w:rPr>
          <w:rFonts w:cstheme="minorHAnsi"/>
          <w:highlight w:val="cyan"/>
        </w:rPr>
        <w:t>.</w:t>
      </w:r>
      <w:r w:rsidR="00CB3F42" w:rsidRPr="00160405">
        <w:rPr>
          <w:rFonts w:cstheme="minorHAnsi"/>
          <w:b/>
        </w:rPr>
        <w:br w:type="page"/>
      </w:r>
    </w:p>
    <w:p w:rsidR="00BA10E8" w:rsidRPr="002E2D9B" w:rsidRDefault="00CB3F42" w:rsidP="004A1DE1">
      <w:pPr>
        <w:pStyle w:val="1"/>
        <w:numPr>
          <w:ilvl w:val="0"/>
          <w:numId w:val="14"/>
        </w:numPr>
        <w:rPr>
          <w:rFonts w:ascii="Arial" w:hAnsi="Arial" w:cs="Arial"/>
          <w:color w:val="auto"/>
          <w:sz w:val="24"/>
          <w:szCs w:val="24"/>
        </w:rPr>
      </w:pPr>
      <w:bookmarkStart w:id="10" w:name="_Toc498003144"/>
      <w:bookmarkStart w:id="11" w:name="_Toc498075041"/>
      <w:bookmarkStart w:id="12" w:name="_Toc498076224"/>
      <w:bookmarkStart w:id="13" w:name="_Toc498076438"/>
      <w:bookmarkStart w:id="14" w:name="_Toc498076506"/>
      <w:r>
        <w:rPr>
          <w:rFonts w:ascii="Arial" w:hAnsi="Arial" w:cs="Arial"/>
          <w:color w:val="auto"/>
          <w:sz w:val="24"/>
          <w:szCs w:val="24"/>
        </w:rPr>
        <w:t>Ανάλυση συμπερασμάτων</w:t>
      </w:r>
      <w:bookmarkEnd w:id="10"/>
      <w:bookmarkEnd w:id="11"/>
      <w:bookmarkEnd w:id="12"/>
      <w:bookmarkEnd w:id="13"/>
      <w:bookmarkEnd w:id="14"/>
      <w:r w:rsidR="00D50155" w:rsidRPr="002E2D9B">
        <w:rPr>
          <w:rFonts w:ascii="Arial" w:hAnsi="Arial" w:cs="Arial"/>
          <w:color w:val="auto"/>
          <w:sz w:val="24"/>
          <w:szCs w:val="24"/>
        </w:rPr>
        <w:t xml:space="preserve"> </w:t>
      </w:r>
    </w:p>
    <w:p w:rsidR="002E2D9B" w:rsidRPr="002E2D9B" w:rsidRDefault="002E2D9B" w:rsidP="002E2D9B"/>
    <w:p w:rsidR="00D55B2A" w:rsidRPr="00226402" w:rsidRDefault="00D55B2A" w:rsidP="002E2D9B">
      <w:pPr>
        <w:ind w:firstLine="360"/>
        <w:jc w:val="both"/>
        <w:rPr>
          <w:rFonts w:ascii="Arial" w:hAnsi="Arial" w:cs="Arial"/>
        </w:rPr>
      </w:pPr>
      <w:r w:rsidRPr="00226402">
        <w:rPr>
          <w:rFonts w:ascii="Arial" w:hAnsi="Arial" w:cs="Arial"/>
        </w:rPr>
        <w:t xml:space="preserve">Με βάση τα παραπάνω αποτελέσματα </w:t>
      </w:r>
      <w:r w:rsidR="00FF10B4" w:rsidRPr="00226402">
        <w:rPr>
          <w:rFonts w:ascii="Arial" w:hAnsi="Arial" w:cs="Arial"/>
        </w:rPr>
        <w:t xml:space="preserve">(εντάξεων, ολοκληρώσεων και </w:t>
      </w:r>
      <w:proofErr w:type="spellStart"/>
      <w:r w:rsidR="00FF10B4" w:rsidRPr="00226402">
        <w:rPr>
          <w:rFonts w:ascii="Arial" w:hAnsi="Arial" w:cs="Arial"/>
        </w:rPr>
        <w:t>απεντάξεων</w:t>
      </w:r>
      <w:proofErr w:type="spellEnd"/>
      <w:r w:rsidR="00FF10B4" w:rsidRPr="00226402">
        <w:rPr>
          <w:rFonts w:ascii="Arial" w:hAnsi="Arial" w:cs="Arial"/>
        </w:rPr>
        <w:t>)</w:t>
      </w:r>
      <w:r w:rsidR="006E1FE4" w:rsidRPr="00226402">
        <w:rPr>
          <w:rFonts w:ascii="Arial" w:hAnsi="Arial" w:cs="Arial"/>
        </w:rPr>
        <w:t>,</w:t>
      </w:r>
      <w:r w:rsidR="00FF10B4" w:rsidRPr="00226402">
        <w:rPr>
          <w:rFonts w:ascii="Arial" w:hAnsi="Arial" w:cs="Arial"/>
        </w:rPr>
        <w:t xml:space="preserve"> </w:t>
      </w:r>
      <w:r w:rsidRPr="00226402">
        <w:rPr>
          <w:rFonts w:ascii="Arial" w:hAnsi="Arial" w:cs="Arial"/>
        </w:rPr>
        <w:t>προκύπτουν τα ακόλουθα γενικά συμπεράσματα:</w:t>
      </w:r>
    </w:p>
    <w:p w:rsidR="00D55B2A" w:rsidRPr="00226402" w:rsidRDefault="00BA10E8" w:rsidP="008E353E">
      <w:pPr>
        <w:pStyle w:val="a3"/>
        <w:numPr>
          <w:ilvl w:val="0"/>
          <w:numId w:val="1"/>
        </w:numPr>
        <w:jc w:val="both"/>
        <w:rPr>
          <w:rFonts w:ascii="Arial" w:hAnsi="Arial" w:cs="Arial"/>
        </w:rPr>
      </w:pPr>
      <w:r w:rsidRPr="00226402">
        <w:rPr>
          <w:rFonts w:ascii="Arial" w:hAnsi="Arial" w:cs="Arial"/>
        </w:rPr>
        <w:t>Ολοκληρώθηκε το 54,6% του συνόλου των ενταγμένων επενδυτικών έργων.</w:t>
      </w:r>
    </w:p>
    <w:p w:rsidR="00BA10E8" w:rsidRPr="00226402" w:rsidRDefault="00BA10E8" w:rsidP="008E353E">
      <w:pPr>
        <w:pStyle w:val="a3"/>
        <w:numPr>
          <w:ilvl w:val="0"/>
          <w:numId w:val="1"/>
        </w:numPr>
        <w:jc w:val="both"/>
        <w:rPr>
          <w:rFonts w:ascii="Arial" w:hAnsi="Arial" w:cs="Arial"/>
        </w:rPr>
      </w:pPr>
      <w:proofErr w:type="spellStart"/>
      <w:r w:rsidRPr="00226402">
        <w:rPr>
          <w:rFonts w:ascii="Arial" w:hAnsi="Arial" w:cs="Arial"/>
        </w:rPr>
        <w:t>Απεντάχθηκε</w:t>
      </w:r>
      <w:proofErr w:type="spellEnd"/>
      <w:r w:rsidRPr="00226402">
        <w:rPr>
          <w:rFonts w:ascii="Arial" w:hAnsi="Arial" w:cs="Arial"/>
        </w:rPr>
        <w:t xml:space="preserve"> το 45,4</w:t>
      </w:r>
      <w:r w:rsidR="008E353E" w:rsidRPr="00226402">
        <w:rPr>
          <w:rFonts w:ascii="Arial" w:hAnsi="Arial" w:cs="Arial"/>
        </w:rPr>
        <w:t>%</w:t>
      </w:r>
      <w:r w:rsidRPr="00226402">
        <w:rPr>
          <w:rFonts w:ascii="Arial" w:hAnsi="Arial" w:cs="Arial"/>
        </w:rPr>
        <w:t xml:space="preserve"> του συνόλου των ενταγμένων επενδυτικών έργων.</w:t>
      </w:r>
    </w:p>
    <w:p w:rsidR="00BA10E8" w:rsidRPr="00226402" w:rsidRDefault="00BA10E8" w:rsidP="008E353E">
      <w:pPr>
        <w:pStyle w:val="a3"/>
        <w:numPr>
          <w:ilvl w:val="0"/>
          <w:numId w:val="1"/>
        </w:numPr>
        <w:jc w:val="both"/>
        <w:rPr>
          <w:rFonts w:ascii="Arial" w:hAnsi="Arial" w:cs="Arial"/>
        </w:rPr>
      </w:pPr>
      <w:r w:rsidRPr="00226402">
        <w:rPr>
          <w:rFonts w:ascii="Arial" w:hAnsi="Arial" w:cs="Arial"/>
        </w:rPr>
        <w:t>Ο συνολικός επιχορηγούμενος Π/Υ των ολοκληρωμένων επενδυτικών έργων ανήλθε στο 47,52% του συνολικού επιχορηγούμενου Π/Υ των ενταγμένων επενδυτικών έργων.</w:t>
      </w:r>
    </w:p>
    <w:p w:rsidR="00BA10E8" w:rsidRPr="00226402" w:rsidRDefault="00BA10E8" w:rsidP="008E353E">
      <w:pPr>
        <w:pStyle w:val="a3"/>
        <w:numPr>
          <w:ilvl w:val="0"/>
          <w:numId w:val="1"/>
        </w:numPr>
        <w:jc w:val="both"/>
        <w:rPr>
          <w:rFonts w:ascii="Arial" w:hAnsi="Arial" w:cs="Arial"/>
        </w:rPr>
      </w:pPr>
      <w:r w:rsidRPr="00226402">
        <w:rPr>
          <w:rFonts w:ascii="Arial" w:hAnsi="Arial" w:cs="Arial"/>
        </w:rPr>
        <w:t xml:space="preserve">Η δημόσια δαπάνη των ολοκληρωμένων </w:t>
      </w:r>
      <w:r w:rsidR="008E353E" w:rsidRPr="00226402">
        <w:rPr>
          <w:rFonts w:ascii="Arial" w:hAnsi="Arial" w:cs="Arial"/>
        </w:rPr>
        <w:t>επενδυτικών έργων ανήλθε στο 47</w:t>
      </w:r>
      <w:r w:rsidRPr="00226402">
        <w:rPr>
          <w:rFonts w:ascii="Arial" w:hAnsi="Arial" w:cs="Arial"/>
        </w:rPr>
        <w:t>% της δημόσιας δαπάνης των ενταγμένων επενδυτικών έργων.</w:t>
      </w:r>
    </w:p>
    <w:p w:rsidR="002E2D9B" w:rsidRDefault="002E2D9B" w:rsidP="008E353E">
      <w:pPr>
        <w:jc w:val="both"/>
        <w:rPr>
          <w:rFonts w:ascii="Arial" w:hAnsi="Arial" w:cs="Arial"/>
          <w:b/>
        </w:rPr>
      </w:pPr>
    </w:p>
    <w:p w:rsidR="00CB3F42" w:rsidRDefault="004A1DE1" w:rsidP="004A1DE1">
      <w:pPr>
        <w:pStyle w:val="2"/>
        <w:ind w:firstLine="360"/>
        <w:rPr>
          <w:rFonts w:ascii="Arial" w:hAnsi="Arial" w:cs="Arial"/>
          <w:color w:val="auto"/>
          <w:sz w:val="22"/>
          <w:szCs w:val="22"/>
        </w:rPr>
      </w:pPr>
      <w:bookmarkStart w:id="15" w:name="_Toc498003145"/>
      <w:bookmarkStart w:id="16" w:name="_Toc498075042"/>
      <w:bookmarkStart w:id="17" w:name="_Toc498076225"/>
      <w:bookmarkStart w:id="18" w:name="_Toc498076439"/>
      <w:bookmarkStart w:id="19" w:name="_Toc498076507"/>
      <w:r>
        <w:rPr>
          <w:rFonts w:ascii="Arial" w:hAnsi="Arial" w:cs="Arial"/>
          <w:color w:val="auto"/>
          <w:sz w:val="22"/>
          <w:szCs w:val="22"/>
        </w:rPr>
        <w:t xml:space="preserve">2.1 </w:t>
      </w:r>
      <w:r w:rsidR="00CB3F42" w:rsidRPr="00CB3F42">
        <w:rPr>
          <w:rFonts w:ascii="Arial" w:hAnsi="Arial" w:cs="Arial"/>
          <w:color w:val="auto"/>
          <w:sz w:val="22"/>
          <w:szCs w:val="22"/>
        </w:rPr>
        <w:t>Ανάλυση μεγέθους</w:t>
      </w:r>
      <w:bookmarkEnd w:id="15"/>
      <w:bookmarkEnd w:id="16"/>
      <w:bookmarkEnd w:id="17"/>
      <w:bookmarkEnd w:id="18"/>
      <w:bookmarkEnd w:id="19"/>
    </w:p>
    <w:p w:rsidR="00CB3F42" w:rsidRPr="00CB3F42" w:rsidRDefault="00CB3F42" w:rsidP="00CB3F42"/>
    <w:p w:rsidR="004F2970" w:rsidRPr="003801A0" w:rsidRDefault="00FF10B4" w:rsidP="002E2D9B">
      <w:pPr>
        <w:ind w:firstLine="360"/>
        <w:jc w:val="both"/>
        <w:rPr>
          <w:rFonts w:ascii="Arial" w:hAnsi="Arial" w:cs="Arial"/>
        </w:rPr>
      </w:pPr>
      <w:r w:rsidRPr="003801A0">
        <w:rPr>
          <w:rFonts w:ascii="Arial" w:hAnsi="Arial" w:cs="Arial"/>
        </w:rPr>
        <w:t>Κατά την ολοκλήρωση των επενδυτικών έργων και ως προς το μέγεθος των επιχειρήσεων ισχύουν τα ακόλουθα:</w:t>
      </w:r>
    </w:p>
    <w:p w:rsidR="002E2D9B" w:rsidRPr="002E2D9B" w:rsidRDefault="002E2D9B" w:rsidP="008E353E">
      <w:pPr>
        <w:jc w:val="both"/>
        <w:rPr>
          <w:rFonts w:ascii="Arial" w:hAnsi="Arial" w:cs="Arial"/>
          <w:sz w:val="21"/>
          <w:szCs w:val="21"/>
        </w:rPr>
      </w:pPr>
    </w:p>
    <w:tbl>
      <w:tblPr>
        <w:tblStyle w:val="20"/>
        <w:tblW w:w="0" w:type="auto"/>
        <w:tblLook w:val="04A0"/>
      </w:tblPr>
      <w:tblGrid>
        <w:gridCol w:w="1372"/>
        <w:gridCol w:w="517"/>
        <w:gridCol w:w="667"/>
        <w:gridCol w:w="672"/>
        <w:gridCol w:w="672"/>
        <w:gridCol w:w="700"/>
        <w:gridCol w:w="685"/>
        <w:gridCol w:w="685"/>
        <w:gridCol w:w="719"/>
        <w:gridCol w:w="667"/>
        <w:gridCol w:w="667"/>
        <w:gridCol w:w="692"/>
        <w:gridCol w:w="855"/>
      </w:tblGrid>
      <w:tr w:rsidR="008B06FB" w:rsidRPr="00410CFD" w:rsidTr="00791875">
        <w:trPr>
          <w:cnfStyle w:val="100000000000"/>
          <w:trHeight w:val="558"/>
        </w:trPr>
        <w:tc>
          <w:tcPr>
            <w:cnfStyle w:val="001000000000"/>
            <w:tcW w:w="0" w:type="auto"/>
            <w:tcBorders>
              <w:top w:val="single" w:sz="4" w:space="0" w:color="auto"/>
              <w:left w:val="single" w:sz="4" w:space="0" w:color="auto"/>
              <w:bottom w:val="single" w:sz="4" w:space="0" w:color="auto"/>
              <w:right w:val="single" w:sz="4" w:space="0" w:color="auto"/>
            </w:tcBorders>
            <w:vAlign w:val="center"/>
          </w:tcPr>
          <w:p w:rsidR="008B06FB" w:rsidRPr="00410CFD" w:rsidRDefault="00283A5B" w:rsidP="0081114E">
            <w:pPr>
              <w:rPr>
                <w:rFonts w:ascii="Arial" w:hAnsi="Arial" w:cs="Arial"/>
                <w:sz w:val="18"/>
                <w:szCs w:val="18"/>
              </w:rPr>
            </w:pPr>
            <w:r w:rsidRPr="002E2D9B">
              <w:rPr>
                <w:rFonts w:ascii="Arial" w:hAnsi="Arial" w:cs="Arial"/>
              </w:rPr>
              <w:br w:type="page"/>
            </w:r>
          </w:p>
        </w:tc>
        <w:tc>
          <w:tcPr>
            <w:tcW w:w="0" w:type="auto"/>
            <w:gridSpan w:val="2"/>
            <w:tcBorders>
              <w:top w:val="single" w:sz="4" w:space="0" w:color="auto"/>
              <w:left w:val="single" w:sz="4" w:space="0" w:color="auto"/>
              <w:bottom w:val="single" w:sz="4" w:space="0" w:color="auto"/>
              <w:right w:val="single" w:sz="4" w:space="0" w:color="auto"/>
            </w:tcBorders>
            <w:vAlign w:val="center"/>
          </w:tcPr>
          <w:p w:rsidR="008B06FB" w:rsidRPr="00410CFD" w:rsidRDefault="008B06FB" w:rsidP="008B06FB">
            <w:pPr>
              <w:jc w:val="center"/>
              <w:cnfStyle w:val="100000000000"/>
              <w:rPr>
                <w:rFonts w:ascii="Arial" w:hAnsi="Arial" w:cs="Arial"/>
                <w:sz w:val="18"/>
                <w:szCs w:val="18"/>
              </w:rPr>
            </w:pPr>
            <w:r w:rsidRPr="00410CFD">
              <w:rPr>
                <w:rFonts w:ascii="Arial" w:hAnsi="Arial" w:cs="Arial"/>
                <w:sz w:val="18"/>
                <w:szCs w:val="18"/>
              </w:rPr>
              <w:t>Έργα</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B06FB" w:rsidRPr="00410CFD" w:rsidRDefault="008B06FB" w:rsidP="008B06FB">
            <w:pPr>
              <w:jc w:val="center"/>
              <w:cnfStyle w:val="100000000000"/>
              <w:rPr>
                <w:rFonts w:ascii="Arial" w:hAnsi="Arial" w:cs="Arial"/>
                <w:sz w:val="18"/>
                <w:szCs w:val="18"/>
              </w:rPr>
            </w:pPr>
            <w:r w:rsidRPr="00410CFD">
              <w:rPr>
                <w:rFonts w:ascii="Arial" w:hAnsi="Arial" w:cs="Arial"/>
                <w:sz w:val="18"/>
                <w:szCs w:val="18"/>
              </w:rPr>
              <w:t>Συνολικός Προϋπολογισμός</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8B06FB" w:rsidRPr="00410CFD" w:rsidRDefault="008B06FB" w:rsidP="008B06FB">
            <w:pPr>
              <w:jc w:val="center"/>
              <w:cnfStyle w:val="100000000000"/>
              <w:rPr>
                <w:rFonts w:ascii="Arial" w:hAnsi="Arial" w:cs="Arial"/>
                <w:sz w:val="18"/>
                <w:szCs w:val="18"/>
              </w:rPr>
            </w:pPr>
            <w:r w:rsidRPr="00410CFD">
              <w:rPr>
                <w:rFonts w:ascii="Arial" w:hAnsi="Arial" w:cs="Arial"/>
                <w:sz w:val="18"/>
                <w:szCs w:val="18"/>
              </w:rPr>
              <w:t>Επιχορηγούμενος Προϋπολογισμός</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8B06FB" w:rsidRPr="00410CFD" w:rsidRDefault="008B06FB" w:rsidP="008B06FB">
            <w:pPr>
              <w:jc w:val="center"/>
              <w:cnfStyle w:val="100000000000"/>
              <w:rPr>
                <w:rFonts w:ascii="Arial" w:hAnsi="Arial" w:cs="Arial"/>
                <w:sz w:val="18"/>
                <w:szCs w:val="18"/>
              </w:rPr>
            </w:pPr>
            <w:r w:rsidRPr="00410CFD">
              <w:rPr>
                <w:rFonts w:ascii="Arial" w:hAnsi="Arial" w:cs="Arial"/>
                <w:sz w:val="18"/>
                <w:szCs w:val="18"/>
              </w:rPr>
              <w:t>Δημόσια Δαπάνη Ολοκλήρωσης</w:t>
            </w:r>
          </w:p>
        </w:tc>
      </w:tr>
      <w:tr w:rsidR="008B06FB" w:rsidRPr="00410CFD" w:rsidTr="00791875">
        <w:trPr>
          <w:cnfStyle w:val="000000100000"/>
          <w:trHeight w:val="558"/>
        </w:trPr>
        <w:tc>
          <w:tcPr>
            <w:cnfStyle w:val="001000000000"/>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4F2970" w:rsidP="0081114E">
            <w:pPr>
              <w:rPr>
                <w:rFonts w:ascii="Arial" w:hAnsi="Arial" w:cs="Arial"/>
                <w:color w:val="auto"/>
                <w:sz w:val="18"/>
                <w:szCs w:val="18"/>
              </w:rPr>
            </w:pPr>
            <w:r w:rsidRPr="00410CFD">
              <w:rPr>
                <w:rFonts w:ascii="Arial" w:hAnsi="Arial" w:cs="Arial"/>
                <w:color w:val="auto"/>
                <w:sz w:val="18"/>
                <w:szCs w:val="18"/>
              </w:rPr>
              <w:t>Μέγεθος Επιχείρησης</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5606DE" w:rsidRDefault="008B06FB" w:rsidP="00791875">
            <w:pPr>
              <w:spacing w:before="60" w:after="60"/>
              <w:jc w:val="center"/>
              <w:cnfStyle w:val="000000100000"/>
              <w:rPr>
                <w:rFonts w:ascii="Arial" w:hAnsi="Arial" w:cs="Arial"/>
                <w:b/>
                <w:color w:val="auto"/>
                <w:sz w:val="18"/>
                <w:szCs w:val="18"/>
                <w:lang w:val="en-US"/>
              </w:rPr>
            </w:pPr>
            <w:r w:rsidRPr="00410CFD">
              <w:rPr>
                <w:rFonts w:ascii="Arial" w:hAnsi="Arial" w:cs="Arial"/>
                <w:b/>
                <w:color w:val="auto"/>
                <w:sz w:val="18"/>
                <w:szCs w:val="18"/>
              </w:rPr>
              <w:t>Ν</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lang w:val="en-US"/>
              </w:rPr>
            </w:pPr>
            <w:r w:rsidRPr="00410CFD">
              <w:rPr>
                <w:rFonts w:ascii="Arial" w:hAnsi="Arial" w:cs="Arial"/>
                <w:b/>
                <w:color w:val="auto"/>
                <w:sz w:val="18"/>
                <w:szCs w:val="18"/>
              </w:rPr>
              <w:t>εκ</w:t>
            </w:r>
            <w:r w:rsidRPr="00410CFD">
              <w:rPr>
                <w:rFonts w:ascii="Arial" w:hAnsi="Arial" w:cs="Arial"/>
                <w:b/>
                <w:color w:val="auto"/>
                <w:sz w:val="18"/>
                <w:szCs w:val="18"/>
                <w:lang w:val="en-US"/>
              </w:rPr>
              <w:t>.</w:t>
            </w:r>
            <w:r w:rsidRPr="00410CFD">
              <w:rPr>
                <w:rFonts w:ascii="Arial" w:hAnsi="Arial" w:cs="Arial"/>
                <w:b/>
                <w:color w:val="auto"/>
                <w:sz w:val="18"/>
                <w:szCs w:val="18"/>
              </w:rPr>
              <w:t xml:space="preserve"> €</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rPr>
            </w:pPr>
            <w:proofErr w:type="spellStart"/>
            <w:r w:rsidRPr="00410CFD">
              <w:rPr>
                <w:rFonts w:ascii="Arial" w:hAnsi="Arial" w:cs="Arial"/>
                <w:b/>
                <w:color w:val="auto"/>
                <w:sz w:val="18"/>
                <w:szCs w:val="18"/>
              </w:rPr>
              <w:t>μ.ο</w:t>
            </w:r>
            <w:proofErr w:type="spellEnd"/>
            <w:r w:rsidRPr="00410CFD">
              <w:rPr>
                <w:rFonts w:ascii="Arial" w:hAnsi="Arial" w:cs="Arial"/>
                <w:b/>
                <w:color w:val="auto"/>
                <w:sz w:val="18"/>
                <w:szCs w:val="18"/>
              </w:rPr>
              <w:t>.</w:t>
            </w:r>
            <w:r w:rsidR="00711D74" w:rsidRPr="00410CFD">
              <w:rPr>
                <w:rFonts w:ascii="Arial" w:hAnsi="Arial" w:cs="Arial"/>
                <w:b/>
                <w:color w:val="auto"/>
                <w:sz w:val="18"/>
                <w:szCs w:val="18"/>
              </w:rPr>
              <w:t xml:space="preserve"> χιλ. </w:t>
            </w:r>
            <w:r w:rsidRPr="00410CFD">
              <w:rPr>
                <w:rFonts w:ascii="Arial" w:hAnsi="Arial" w:cs="Arial"/>
                <w:b/>
                <w:color w:val="auto"/>
                <w:sz w:val="18"/>
                <w:szCs w:val="18"/>
              </w:rPr>
              <w:t>€</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4F2970" w:rsidP="00791875">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 xml:space="preserve">εκ. </w:t>
            </w:r>
            <w:r w:rsidR="00791875" w:rsidRPr="00410CFD">
              <w:rPr>
                <w:rFonts w:ascii="Arial" w:hAnsi="Arial" w:cs="Arial"/>
                <w:b/>
                <w:color w:val="auto"/>
                <w:sz w:val="18"/>
                <w:szCs w:val="18"/>
              </w:rPr>
              <w:t>€</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4F2970" w:rsidP="00791875">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rPr>
            </w:pPr>
            <w:proofErr w:type="spellStart"/>
            <w:r w:rsidRPr="00410CFD">
              <w:rPr>
                <w:rFonts w:ascii="Arial" w:hAnsi="Arial" w:cs="Arial"/>
                <w:b/>
                <w:color w:val="auto"/>
                <w:sz w:val="18"/>
                <w:szCs w:val="18"/>
              </w:rPr>
              <w:t>μ.ο</w:t>
            </w:r>
            <w:proofErr w:type="spellEnd"/>
            <w:r w:rsidRPr="00410CFD">
              <w:rPr>
                <w:rFonts w:ascii="Arial" w:hAnsi="Arial" w:cs="Arial"/>
                <w:b/>
                <w:color w:val="auto"/>
                <w:sz w:val="18"/>
                <w:szCs w:val="18"/>
              </w:rPr>
              <w:t>. χιλ. €</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ε</w:t>
            </w:r>
            <w:r w:rsidR="004F2970" w:rsidRPr="00410CFD">
              <w:rPr>
                <w:rFonts w:ascii="Arial" w:hAnsi="Arial" w:cs="Arial"/>
                <w:b/>
                <w:color w:val="auto"/>
                <w:sz w:val="18"/>
                <w:szCs w:val="18"/>
              </w:rPr>
              <w:t xml:space="preserve">κ. </w:t>
            </w:r>
            <w:r w:rsidRPr="00410CFD">
              <w:rPr>
                <w:rFonts w:ascii="Arial" w:hAnsi="Arial" w:cs="Arial"/>
                <w:b/>
                <w:color w:val="auto"/>
                <w:sz w:val="18"/>
                <w:szCs w:val="18"/>
              </w:rPr>
              <w:t>€</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791875" w:rsidP="00791875">
            <w:pPr>
              <w:spacing w:before="60" w:after="60"/>
              <w:jc w:val="center"/>
              <w:cnfStyle w:val="000000100000"/>
              <w:rPr>
                <w:rFonts w:ascii="Arial" w:hAnsi="Arial" w:cs="Arial"/>
                <w:b/>
                <w:color w:val="auto"/>
                <w:sz w:val="18"/>
                <w:szCs w:val="18"/>
              </w:rPr>
            </w:pPr>
            <w:proofErr w:type="spellStart"/>
            <w:r w:rsidRPr="00410CFD">
              <w:rPr>
                <w:rFonts w:ascii="Arial" w:hAnsi="Arial" w:cs="Arial"/>
                <w:b/>
                <w:color w:val="auto"/>
                <w:sz w:val="18"/>
                <w:szCs w:val="18"/>
              </w:rPr>
              <w:t>μ.ο</w:t>
            </w:r>
            <w:proofErr w:type="spellEnd"/>
            <w:r w:rsidRPr="00410CFD">
              <w:rPr>
                <w:rFonts w:ascii="Arial" w:hAnsi="Arial" w:cs="Arial"/>
                <w:b/>
                <w:color w:val="auto"/>
                <w:sz w:val="18"/>
                <w:szCs w:val="18"/>
              </w:rPr>
              <w:t>. χιλ. €</w:t>
            </w:r>
          </w:p>
        </w:tc>
        <w:tc>
          <w:tcPr>
            <w:tcW w:w="0" w:type="auto"/>
            <w:tcBorders>
              <w:top w:val="single" w:sz="4" w:space="0" w:color="auto"/>
              <w:left w:val="single" w:sz="4" w:space="0" w:color="auto"/>
              <w:bottom w:val="single" w:sz="4" w:space="0" w:color="auto"/>
              <w:right w:val="single" w:sz="4" w:space="0" w:color="auto"/>
            </w:tcBorders>
            <w:vAlign w:val="bottom"/>
          </w:tcPr>
          <w:p w:rsidR="004F2970" w:rsidRPr="00410CFD" w:rsidRDefault="00401644" w:rsidP="00791875">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 xml:space="preserve">% </w:t>
            </w:r>
            <w:proofErr w:type="spellStart"/>
            <w:r w:rsidRPr="00410CFD">
              <w:rPr>
                <w:rFonts w:ascii="Arial" w:hAnsi="Arial" w:cs="Arial"/>
                <w:b/>
                <w:color w:val="auto"/>
                <w:sz w:val="18"/>
                <w:szCs w:val="18"/>
              </w:rPr>
              <w:t>π</w:t>
            </w:r>
            <w:r w:rsidR="00791875" w:rsidRPr="00410CFD">
              <w:rPr>
                <w:rFonts w:ascii="Arial" w:hAnsi="Arial" w:cs="Arial"/>
                <w:b/>
                <w:color w:val="auto"/>
                <w:sz w:val="18"/>
                <w:szCs w:val="18"/>
              </w:rPr>
              <w:t>ρ</w:t>
            </w:r>
            <w:proofErr w:type="spellEnd"/>
            <w:r w:rsidR="00791875" w:rsidRPr="00410CFD">
              <w:rPr>
                <w:rFonts w:ascii="Arial" w:hAnsi="Arial" w:cs="Arial"/>
                <w:b/>
                <w:color w:val="auto"/>
                <w:sz w:val="18"/>
                <w:szCs w:val="18"/>
              </w:rPr>
              <w:t>/</w:t>
            </w:r>
            <w:r w:rsidR="004F2970" w:rsidRPr="00410CFD">
              <w:rPr>
                <w:rFonts w:ascii="Arial" w:hAnsi="Arial" w:cs="Arial"/>
                <w:b/>
                <w:color w:val="auto"/>
                <w:sz w:val="18"/>
                <w:szCs w:val="18"/>
              </w:rPr>
              <w:t>μού</w:t>
            </w:r>
          </w:p>
        </w:tc>
      </w:tr>
      <w:tr w:rsidR="008B06FB" w:rsidRPr="00410CFD" w:rsidTr="0081114E">
        <w:tc>
          <w:tcPr>
            <w:cnfStyle w:val="001000000000"/>
            <w:tcW w:w="0" w:type="auto"/>
            <w:tcBorders>
              <w:top w:val="single" w:sz="4" w:space="0" w:color="auto"/>
            </w:tcBorders>
            <w:vAlign w:val="center"/>
          </w:tcPr>
          <w:p w:rsidR="004F2970" w:rsidRPr="00410CFD" w:rsidRDefault="004F2970" w:rsidP="0081114E">
            <w:pPr>
              <w:spacing w:before="60" w:after="60"/>
              <w:rPr>
                <w:rFonts w:ascii="Arial" w:hAnsi="Arial" w:cs="Arial"/>
                <w:sz w:val="18"/>
                <w:szCs w:val="18"/>
              </w:rPr>
            </w:pPr>
            <w:r w:rsidRPr="00410CFD">
              <w:rPr>
                <w:rFonts w:ascii="Arial" w:hAnsi="Arial" w:cs="Arial"/>
                <w:sz w:val="18"/>
                <w:szCs w:val="18"/>
              </w:rPr>
              <w:t>Μικρές και Πολύ Μικρές</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354</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72.68</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28.41</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64.04</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80.26</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27.41</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64.19</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77.43</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11.98</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66.15</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33.85</w:t>
            </w:r>
          </w:p>
        </w:tc>
        <w:tc>
          <w:tcPr>
            <w:tcW w:w="0" w:type="auto"/>
            <w:tcBorders>
              <w:top w:val="single" w:sz="4" w:space="0" w:color="auto"/>
            </w:tcBorders>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42.17</w:t>
            </w:r>
          </w:p>
        </w:tc>
      </w:tr>
      <w:tr w:rsidR="008B06FB" w:rsidRPr="00410CFD" w:rsidTr="0081114E">
        <w:trPr>
          <w:cnfStyle w:val="000000100000"/>
        </w:trPr>
        <w:tc>
          <w:tcPr>
            <w:cnfStyle w:val="001000000000"/>
            <w:tcW w:w="0" w:type="auto"/>
            <w:vAlign w:val="center"/>
          </w:tcPr>
          <w:p w:rsidR="004F2970" w:rsidRPr="00410CFD" w:rsidRDefault="004F2970" w:rsidP="0081114E">
            <w:pPr>
              <w:spacing w:before="60" w:after="60"/>
              <w:rPr>
                <w:rFonts w:ascii="Arial" w:hAnsi="Arial" w:cs="Arial"/>
                <w:sz w:val="18"/>
                <w:szCs w:val="18"/>
              </w:rPr>
            </w:pPr>
            <w:r w:rsidRPr="00410CFD">
              <w:rPr>
                <w:rFonts w:ascii="Arial" w:hAnsi="Arial" w:cs="Arial"/>
                <w:sz w:val="18"/>
                <w:szCs w:val="18"/>
              </w:rPr>
              <w:t>Μεσαίες</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99</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20.32</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11.30</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25.47</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114.1</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10.85</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25.42</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109.6</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4.803</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26.51</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48.52</w:t>
            </w:r>
          </w:p>
        </w:tc>
        <w:tc>
          <w:tcPr>
            <w:tcW w:w="0" w:type="auto"/>
            <w:vAlign w:val="center"/>
          </w:tcPr>
          <w:p w:rsidR="004F2970" w:rsidRPr="00410CFD" w:rsidRDefault="004F2970" w:rsidP="0081114E">
            <w:pPr>
              <w:spacing w:before="60" w:after="60"/>
              <w:jc w:val="center"/>
              <w:cnfStyle w:val="000000100000"/>
              <w:rPr>
                <w:rFonts w:ascii="Arial" w:hAnsi="Arial" w:cs="Arial"/>
                <w:sz w:val="18"/>
                <w:szCs w:val="18"/>
              </w:rPr>
            </w:pPr>
            <w:r w:rsidRPr="00410CFD">
              <w:rPr>
                <w:rFonts w:ascii="Arial" w:hAnsi="Arial" w:cs="Arial"/>
                <w:sz w:val="18"/>
                <w:szCs w:val="18"/>
              </w:rPr>
              <w:t>42.50</w:t>
            </w:r>
          </w:p>
        </w:tc>
      </w:tr>
      <w:tr w:rsidR="008B06FB" w:rsidRPr="00410CFD" w:rsidTr="0081114E">
        <w:tc>
          <w:tcPr>
            <w:cnfStyle w:val="001000000000"/>
            <w:tcW w:w="0" w:type="auto"/>
            <w:vAlign w:val="center"/>
          </w:tcPr>
          <w:p w:rsidR="004F2970" w:rsidRPr="00410CFD" w:rsidRDefault="004F2970" w:rsidP="0081114E">
            <w:pPr>
              <w:spacing w:before="60" w:after="60"/>
              <w:rPr>
                <w:rFonts w:ascii="Arial" w:hAnsi="Arial" w:cs="Arial"/>
                <w:sz w:val="18"/>
                <w:szCs w:val="18"/>
              </w:rPr>
            </w:pPr>
            <w:r w:rsidRPr="00410CFD">
              <w:rPr>
                <w:rFonts w:ascii="Arial" w:hAnsi="Arial" w:cs="Arial"/>
                <w:sz w:val="18"/>
                <w:szCs w:val="18"/>
              </w:rPr>
              <w:t>Μεγάλες</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34</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6.981</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4.650</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10.48</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136.7</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4.435</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10.38</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130.4</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1.328</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7.331</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39.06</w:t>
            </w:r>
          </w:p>
        </w:tc>
        <w:tc>
          <w:tcPr>
            <w:tcW w:w="0" w:type="auto"/>
            <w:vAlign w:val="center"/>
          </w:tcPr>
          <w:p w:rsidR="004F2970" w:rsidRPr="00410CFD" w:rsidRDefault="004F2970" w:rsidP="0081114E">
            <w:pPr>
              <w:spacing w:before="60" w:after="60"/>
              <w:jc w:val="center"/>
              <w:cnfStyle w:val="000000000000"/>
              <w:rPr>
                <w:rFonts w:ascii="Arial" w:hAnsi="Arial" w:cs="Arial"/>
                <w:sz w:val="18"/>
                <w:szCs w:val="18"/>
              </w:rPr>
            </w:pPr>
            <w:r w:rsidRPr="00410CFD">
              <w:rPr>
                <w:rFonts w:ascii="Arial" w:hAnsi="Arial" w:cs="Arial"/>
                <w:sz w:val="18"/>
                <w:szCs w:val="18"/>
              </w:rPr>
              <w:t>28.55</w:t>
            </w:r>
          </w:p>
        </w:tc>
      </w:tr>
    </w:tbl>
    <w:p w:rsidR="004F2970" w:rsidRPr="00410CFD" w:rsidRDefault="004F2970" w:rsidP="008E353E">
      <w:pPr>
        <w:jc w:val="both"/>
        <w:rPr>
          <w:rFonts w:ascii="Arial" w:hAnsi="Arial" w:cs="Arial"/>
          <w:sz w:val="18"/>
          <w:szCs w:val="18"/>
          <w:lang w:val="en-US"/>
        </w:rPr>
      </w:pPr>
    </w:p>
    <w:p w:rsidR="00FF10B4" w:rsidRPr="00226402" w:rsidRDefault="00FF10B4" w:rsidP="008E353E">
      <w:pPr>
        <w:pStyle w:val="a3"/>
        <w:numPr>
          <w:ilvl w:val="0"/>
          <w:numId w:val="2"/>
        </w:numPr>
        <w:ind w:left="709" w:hanging="283"/>
        <w:jc w:val="both"/>
        <w:rPr>
          <w:rFonts w:ascii="Arial" w:hAnsi="Arial" w:cs="Arial"/>
        </w:rPr>
      </w:pPr>
      <w:r w:rsidRPr="003801A0">
        <w:rPr>
          <w:rFonts w:ascii="Arial" w:hAnsi="Arial" w:cs="Arial"/>
        </w:rPr>
        <w:t>354 πολύ μικρές και μικρές</w:t>
      </w:r>
      <w:r w:rsidRPr="00226402">
        <w:rPr>
          <w:rFonts w:ascii="Arial" w:hAnsi="Arial" w:cs="Arial"/>
          <w:b/>
        </w:rPr>
        <w:t xml:space="preserve"> </w:t>
      </w:r>
      <w:r w:rsidRPr="00226402">
        <w:rPr>
          <w:rFonts w:ascii="Arial" w:hAnsi="Arial" w:cs="Arial"/>
        </w:rPr>
        <w:t>επιχειρήσεις</w:t>
      </w:r>
      <w:r w:rsidRPr="00226402">
        <w:rPr>
          <w:rFonts w:ascii="Arial" w:hAnsi="Arial" w:cs="Arial"/>
          <w:b/>
        </w:rPr>
        <w:t xml:space="preserve"> </w:t>
      </w:r>
      <w:r w:rsidRPr="00226402">
        <w:rPr>
          <w:rFonts w:ascii="Arial" w:hAnsi="Arial" w:cs="Arial"/>
        </w:rPr>
        <w:t>ολοκλήρωσαν τα επενδυτικά του</w:t>
      </w:r>
      <w:r w:rsidR="005C2B32" w:rsidRPr="00226402">
        <w:rPr>
          <w:rFonts w:ascii="Arial" w:hAnsi="Arial" w:cs="Arial"/>
        </w:rPr>
        <w:t>ς</w:t>
      </w:r>
      <w:r w:rsidRPr="00226402">
        <w:rPr>
          <w:rFonts w:ascii="Arial" w:hAnsi="Arial" w:cs="Arial"/>
        </w:rPr>
        <w:t xml:space="preserve"> έργα</w:t>
      </w:r>
      <w:r w:rsidR="005C2B32" w:rsidRPr="00226402">
        <w:rPr>
          <w:rFonts w:ascii="Arial" w:hAnsi="Arial" w:cs="Arial"/>
        </w:rPr>
        <w:t xml:space="preserve"> και</w:t>
      </w:r>
      <w:r w:rsidRPr="00226402">
        <w:rPr>
          <w:rFonts w:ascii="Arial" w:hAnsi="Arial" w:cs="Arial"/>
        </w:rPr>
        <w:t xml:space="preserve"> αντιστοιχούν </w:t>
      </w:r>
      <w:r w:rsidR="00ED3564" w:rsidRPr="00226402">
        <w:rPr>
          <w:rFonts w:ascii="Arial" w:hAnsi="Arial" w:cs="Arial"/>
        </w:rPr>
        <w:t>το</w:t>
      </w:r>
      <w:r w:rsidRPr="00226402">
        <w:rPr>
          <w:rFonts w:ascii="Arial" w:hAnsi="Arial" w:cs="Arial"/>
        </w:rPr>
        <w:t xml:space="preserve"> 72,69% του συνόλου των ολοκλη</w:t>
      </w:r>
      <w:r w:rsidR="00ED3564" w:rsidRPr="00226402">
        <w:rPr>
          <w:rFonts w:ascii="Arial" w:hAnsi="Arial" w:cs="Arial"/>
        </w:rPr>
        <w:t>ρωμένων επενδυτικών έργων. Επιπρόσθετα, η συγκεκριμένη κατηγορία (πολύ μικρές και μικρές) αντιστοιχούν στο 64% του συνολικού εγκεκριμένου Π/Υ και στο 66,15% της δημόσιας δαπάνης των ολοκληρωμένων έργων.</w:t>
      </w:r>
    </w:p>
    <w:p w:rsidR="00ED3564" w:rsidRPr="00226402" w:rsidRDefault="00FF10B4" w:rsidP="008E353E">
      <w:pPr>
        <w:pStyle w:val="a3"/>
        <w:numPr>
          <w:ilvl w:val="0"/>
          <w:numId w:val="2"/>
        </w:numPr>
        <w:ind w:left="709" w:hanging="283"/>
        <w:jc w:val="both"/>
        <w:rPr>
          <w:rFonts w:ascii="Arial" w:hAnsi="Arial" w:cs="Arial"/>
        </w:rPr>
      </w:pPr>
      <w:r w:rsidRPr="003801A0">
        <w:rPr>
          <w:rFonts w:ascii="Arial" w:hAnsi="Arial" w:cs="Arial"/>
        </w:rPr>
        <w:t xml:space="preserve">99 </w:t>
      </w:r>
      <w:r w:rsidR="00844DC0" w:rsidRPr="003801A0">
        <w:rPr>
          <w:rFonts w:ascii="Arial" w:hAnsi="Arial" w:cs="Arial"/>
        </w:rPr>
        <w:t>μεσαίες</w:t>
      </w:r>
      <w:r w:rsidR="00844DC0" w:rsidRPr="00226402">
        <w:rPr>
          <w:rFonts w:ascii="Arial" w:hAnsi="Arial" w:cs="Arial"/>
          <w:b/>
        </w:rPr>
        <w:t xml:space="preserve"> </w:t>
      </w:r>
      <w:r w:rsidR="00844DC0" w:rsidRPr="00226402">
        <w:rPr>
          <w:rFonts w:ascii="Arial" w:hAnsi="Arial" w:cs="Arial"/>
        </w:rPr>
        <w:t xml:space="preserve">επιχειρήσεις </w:t>
      </w:r>
      <w:r w:rsidRPr="00226402">
        <w:rPr>
          <w:rFonts w:ascii="Arial" w:hAnsi="Arial" w:cs="Arial"/>
        </w:rPr>
        <w:t xml:space="preserve">ολοκλήρωσαν </w:t>
      </w:r>
      <w:r w:rsidR="00844DC0" w:rsidRPr="00226402">
        <w:rPr>
          <w:rFonts w:ascii="Arial" w:hAnsi="Arial" w:cs="Arial"/>
        </w:rPr>
        <w:t>τα επενδυτικά τους έργα</w:t>
      </w:r>
      <w:r w:rsidR="005C2B32" w:rsidRPr="00226402">
        <w:rPr>
          <w:rFonts w:ascii="Arial" w:hAnsi="Arial" w:cs="Arial"/>
        </w:rPr>
        <w:t xml:space="preserve"> και</w:t>
      </w:r>
      <w:r w:rsidR="00ED3564" w:rsidRPr="00226402">
        <w:rPr>
          <w:rFonts w:ascii="Arial" w:hAnsi="Arial" w:cs="Arial"/>
        </w:rPr>
        <w:t xml:space="preserve"> αντιστοιχούν στο 20,33% του συνόλου των ολοκληρωμένων επενδυτικών έργων, καλύπτοντας το 25,47% του συνολικού εγκεκριμένου Π/Υ και το 26,52% της δημόσιας δαπάνης των ολοκληρωμένων έργων.</w:t>
      </w:r>
      <w:r w:rsidRPr="00226402">
        <w:rPr>
          <w:rFonts w:ascii="Arial" w:hAnsi="Arial" w:cs="Arial"/>
        </w:rPr>
        <w:t xml:space="preserve"> </w:t>
      </w:r>
    </w:p>
    <w:p w:rsidR="003E48BF" w:rsidRPr="00226402" w:rsidRDefault="00FF10B4" w:rsidP="00604A5B">
      <w:pPr>
        <w:pStyle w:val="a3"/>
        <w:numPr>
          <w:ilvl w:val="0"/>
          <w:numId w:val="2"/>
        </w:numPr>
        <w:ind w:left="709" w:hanging="283"/>
        <w:jc w:val="both"/>
        <w:rPr>
          <w:rFonts w:ascii="Arial" w:hAnsi="Arial" w:cs="Arial"/>
        </w:rPr>
      </w:pPr>
      <w:r w:rsidRPr="003801A0">
        <w:rPr>
          <w:rFonts w:ascii="Arial" w:hAnsi="Arial" w:cs="Arial"/>
        </w:rPr>
        <w:t xml:space="preserve">34 </w:t>
      </w:r>
      <w:r w:rsidR="00844DC0" w:rsidRPr="003801A0">
        <w:rPr>
          <w:rFonts w:ascii="Arial" w:hAnsi="Arial" w:cs="Arial"/>
        </w:rPr>
        <w:t>μεγάλες</w:t>
      </w:r>
      <w:r w:rsidR="00844DC0" w:rsidRPr="00226402">
        <w:rPr>
          <w:rFonts w:ascii="Arial" w:hAnsi="Arial" w:cs="Arial"/>
        </w:rPr>
        <w:t xml:space="preserve"> </w:t>
      </w:r>
      <w:r w:rsidR="00ED3564" w:rsidRPr="00226402">
        <w:rPr>
          <w:rFonts w:ascii="Arial" w:hAnsi="Arial" w:cs="Arial"/>
        </w:rPr>
        <w:t xml:space="preserve">επιχειρήσεις ολοκλήρωσαν </w:t>
      </w:r>
      <w:r w:rsidR="00844DC0" w:rsidRPr="00226402">
        <w:rPr>
          <w:rFonts w:ascii="Arial" w:hAnsi="Arial" w:cs="Arial"/>
        </w:rPr>
        <w:t xml:space="preserve">τα επενδυτικά τους έργα </w:t>
      </w:r>
      <w:r w:rsidR="005C2B32" w:rsidRPr="00226402">
        <w:rPr>
          <w:rFonts w:ascii="Arial" w:hAnsi="Arial" w:cs="Arial"/>
        </w:rPr>
        <w:t>και</w:t>
      </w:r>
      <w:r w:rsidR="00ED3564" w:rsidRPr="00226402">
        <w:rPr>
          <w:rFonts w:ascii="Arial" w:hAnsi="Arial" w:cs="Arial"/>
        </w:rPr>
        <w:t xml:space="preserve"> αντιστοιχούν στο </w:t>
      </w:r>
      <w:r w:rsidRPr="00226402">
        <w:rPr>
          <w:rFonts w:ascii="Arial" w:hAnsi="Arial" w:cs="Arial"/>
        </w:rPr>
        <w:t xml:space="preserve">6,98% </w:t>
      </w:r>
      <w:r w:rsidR="00ED3564" w:rsidRPr="00226402">
        <w:rPr>
          <w:rFonts w:ascii="Arial" w:hAnsi="Arial" w:cs="Arial"/>
        </w:rPr>
        <w:t>του συνόλου των ολοκληρωμένων επενδυτικών έργων, καλύπτοντας το 10,48% του συνολικού εγκεκριμένου Π/Υ και το 7,33% της δημόσιας δαπάνης των ολοκληρωμένων έργων.</w:t>
      </w:r>
    </w:p>
    <w:p w:rsidR="007B3A21" w:rsidRPr="00226402" w:rsidRDefault="007B3A21" w:rsidP="008E353E">
      <w:pPr>
        <w:pStyle w:val="a3"/>
        <w:ind w:left="0"/>
        <w:jc w:val="both"/>
        <w:rPr>
          <w:rFonts w:ascii="Arial" w:hAnsi="Arial" w:cs="Arial"/>
        </w:rPr>
      </w:pPr>
    </w:p>
    <w:p w:rsidR="00CB3F42" w:rsidRDefault="00CB3F42" w:rsidP="002E2D9B">
      <w:pPr>
        <w:pStyle w:val="a3"/>
        <w:ind w:left="0" w:firstLine="426"/>
        <w:jc w:val="both"/>
        <w:rPr>
          <w:rFonts w:ascii="Arial" w:hAnsi="Arial" w:cs="Arial"/>
        </w:rPr>
      </w:pPr>
    </w:p>
    <w:p w:rsidR="00CB3F42" w:rsidRDefault="004A1DE1" w:rsidP="004A1DE1">
      <w:pPr>
        <w:pStyle w:val="2"/>
        <w:ind w:firstLine="426"/>
        <w:rPr>
          <w:rFonts w:ascii="Arial" w:hAnsi="Arial" w:cs="Arial"/>
          <w:color w:val="auto"/>
          <w:sz w:val="22"/>
          <w:szCs w:val="22"/>
        </w:rPr>
      </w:pPr>
      <w:bookmarkStart w:id="20" w:name="_Toc498003146"/>
      <w:bookmarkStart w:id="21" w:name="_Toc498075043"/>
      <w:bookmarkStart w:id="22" w:name="_Toc498076226"/>
      <w:bookmarkStart w:id="23" w:name="_Toc498076440"/>
      <w:bookmarkStart w:id="24" w:name="_Toc498076508"/>
      <w:r>
        <w:rPr>
          <w:rFonts w:ascii="Arial" w:hAnsi="Arial" w:cs="Arial"/>
          <w:color w:val="auto"/>
          <w:sz w:val="22"/>
          <w:szCs w:val="22"/>
        </w:rPr>
        <w:t xml:space="preserve">2.2 </w:t>
      </w:r>
      <w:r w:rsidR="00CB3F42" w:rsidRPr="00CB3F42">
        <w:rPr>
          <w:rFonts w:ascii="Arial" w:hAnsi="Arial" w:cs="Arial"/>
          <w:color w:val="auto"/>
          <w:sz w:val="22"/>
          <w:szCs w:val="22"/>
        </w:rPr>
        <w:t>Κλαδική ανάλυση</w:t>
      </w:r>
      <w:bookmarkEnd w:id="20"/>
      <w:bookmarkEnd w:id="21"/>
      <w:bookmarkEnd w:id="22"/>
      <w:bookmarkEnd w:id="23"/>
      <w:bookmarkEnd w:id="24"/>
    </w:p>
    <w:p w:rsidR="00CB3F42" w:rsidRPr="00CB3F42" w:rsidRDefault="00CB3F42" w:rsidP="00CB3F42"/>
    <w:p w:rsidR="00604A5B" w:rsidRPr="00226402" w:rsidRDefault="00D50155" w:rsidP="002E2D9B">
      <w:pPr>
        <w:pStyle w:val="a3"/>
        <w:ind w:left="0" w:firstLine="426"/>
        <w:jc w:val="both"/>
        <w:rPr>
          <w:rFonts w:ascii="Arial" w:hAnsi="Arial" w:cs="Arial"/>
          <w:b/>
        </w:rPr>
      </w:pPr>
      <w:r w:rsidRPr="00226402">
        <w:rPr>
          <w:rFonts w:ascii="Arial" w:hAnsi="Arial" w:cs="Arial"/>
        </w:rPr>
        <w:t xml:space="preserve">Επιπρόσθετα, κατά την ολοκλήρωση των επενδυτικών έργων ισχύουν τα ακόλουθα αναφορικά με την </w:t>
      </w:r>
      <w:r w:rsidRPr="003801A0">
        <w:rPr>
          <w:rFonts w:ascii="Arial" w:hAnsi="Arial" w:cs="Arial"/>
        </w:rPr>
        <w:t>κλαδική διάσταση του προγράμματος:</w:t>
      </w:r>
    </w:p>
    <w:p w:rsidR="00604A5B" w:rsidRPr="00410CFD" w:rsidRDefault="00604A5B" w:rsidP="008E353E">
      <w:pPr>
        <w:pStyle w:val="a3"/>
        <w:ind w:left="0"/>
        <w:jc w:val="both"/>
        <w:rPr>
          <w:rFonts w:ascii="Arial" w:hAnsi="Arial" w:cs="Arial"/>
          <w:b/>
          <w:sz w:val="18"/>
          <w:szCs w:val="18"/>
        </w:rPr>
      </w:pPr>
    </w:p>
    <w:tbl>
      <w:tblPr>
        <w:tblStyle w:val="20"/>
        <w:tblW w:w="5000" w:type="pct"/>
        <w:tblLook w:val="04A0"/>
      </w:tblPr>
      <w:tblGrid>
        <w:gridCol w:w="1469"/>
        <w:gridCol w:w="590"/>
        <w:gridCol w:w="667"/>
        <w:gridCol w:w="667"/>
        <w:gridCol w:w="667"/>
        <w:gridCol w:w="667"/>
        <w:gridCol w:w="667"/>
        <w:gridCol w:w="667"/>
        <w:gridCol w:w="667"/>
        <w:gridCol w:w="667"/>
        <w:gridCol w:w="667"/>
        <w:gridCol w:w="667"/>
        <w:gridCol w:w="841"/>
      </w:tblGrid>
      <w:tr w:rsidR="0081114E" w:rsidRPr="00410CFD" w:rsidTr="0081114E">
        <w:trPr>
          <w:cnfStyle w:val="100000000000"/>
          <w:trHeight w:val="455"/>
        </w:trPr>
        <w:tc>
          <w:tcPr>
            <w:cnfStyle w:val="001000000000"/>
            <w:tcW w:w="814"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rPr>
                <w:rFonts w:ascii="Arial" w:hAnsi="Arial" w:cs="Arial"/>
                <w:sz w:val="18"/>
                <w:szCs w:val="18"/>
              </w:rPr>
            </w:pPr>
          </w:p>
        </w:tc>
        <w:tc>
          <w:tcPr>
            <w:tcW w:w="695" w:type="pct"/>
            <w:gridSpan w:val="2"/>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100000000000"/>
              <w:rPr>
                <w:rFonts w:ascii="Arial" w:hAnsi="Arial" w:cs="Arial"/>
                <w:sz w:val="18"/>
                <w:szCs w:val="18"/>
              </w:rPr>
            </w:pPr>
            <w:r w:rsidRPr="00410CFD">
              <w:rPr>
                <w:rFonts w:ascii="Arial" w:hAnsi="Arial" w:cs="Arial"/>
                <w:sz w:val="18"/>
                <w:szCs w:val="18"/>
              </w:rPr>
              <w:t>Έργα</w:t>
            </w:r>
          </w:p>
        </w:tc>
        <w:tc>
          <w:tcPr>
            <w:tcW w:w="1022" w:type="pct"/>
            <w:gridSpan w:val="3"/>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100000000000"/>
              <w:rPr>
                <w:rFonts w:ascii="Arial" w:hAnsi="Arial" w:cs="Arial"/>
                <w:sz w:val="18"/>
                <w:szCs w:val="18"/>
              </w:rPr>
            </w:pPr>
            <w:r w:rsidRPr="00410CFD">
              <w:rPr>
                <w:rFonts w:ascii="Arial" w:hAnsi="Arial" w:cs="Arial"/>
                <w:sz w:val="18"/>
                <w:szCs w:val="18"/>
              </w:rPr>
              <w:t>Συνολικός Προϋπολογισμός</w:t>
            </w:r>
          </w:p>
        </w:tc>
        <w:tc>
          <w:tcPr>
            <w:tcW w:w="1022" w:type="pct"/>
            <w:gridSpan w:val="3"/>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100000000000"/>
              <w:rPr>
                <w:rFonts w:ascii="Arial" w:hAnsi="Arial" w:cs="Arial"/>
                <w:sz w:val="18"/>
                <w:szCs w:val="18"/>
              </w:rPr>
            </w:pPr>
            <w:r w:rsidRPr="00410CFD">
              <w:rPr>
                <w:rFonts w:ascii="Arial" w:hAnsi="Arial" w:cs="Arial"/>
                <w:sz w:val="18"/>
                <w:szCs w:val="18"/>
              </w:rPr>
              <w:t>Επιχορηγούμενος Προϋπολογισμός</w:t>
            </w:r>
          </w:p>
        </w:tc>
        <w:tc>
          <w:tcPr>
            <w:tcW w:w="1447" w:type="pct"/>
            <w:gridSpan w:val="4"/>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100000000000"/>
              <w:rPr>
                <w:rFonts w:ascii="Arial" w:hAnsi="Arial" w:cs="Arial"/>
                <w:sz w:val="18"/>
                <w:szCs w:val="18"/>
              </w:rPr>
            </w:pPr>
            <w:r w:rsidRPr="00410CFD">
              <w:rPr>
                <w:rFonts w:ascii="Arial" w:hAnsi="Arial" w:cs="Arial"/>
                <w:sz w:val="18"/>
                <w:szCs w:val="18"/>
              </w:rPr>
              <w:t>Δημόσια Δαπάνη Ολοκλήρωσης</w:t>
            </w:r>
          </w:p>
        </w:tc>
      </w:tr>
      <w:tr w:rsidR="0081114E" w:rsidRPr="00410CFD" w:rsidTr="0081114E">
        <w:trPr>
          <w:cnfStyle w:val="000000100000"/>
          <w:trHeight w:val="696"/>
        </w:trPr>
        <w:tc>
          <w:tcPr>
            <w:cnfStyle w:val="001000000000"/>
            <w:tcW w:w="814" w:type="pct"/>
            <w:tcBorders>
              <w:top w:val="single" w:sz="4" w:space="0" w:color="auto"/>
              <w:left w:val="single" w:sz="4" w:space="0" w:color="auto"/>
              <w:bottom w:val="single" w:sz="4" w:space="0" w:color="auto"/>
              <w:right w:val="single" w:sz="4" w:space="0" w:color="auto"/>
            </w:tcBorders>
            <w:vAlign w:val="bottom"/>
          </w:tcPr>
          <w:p w:rsidR="0081114E" w:rsidRPr="00410CFD" w:rsidRDefault="000808AB" w:rsidP="0081114E">
            <w:pPr>
              <w:spacing w:before="60" w:after="60"/>
              <w:rPr>
                <w:rFonts w:ascii="Arial" w:hAnsi="Arial" w:cs="Arial"/>
                <w:color w:val="auto"/>
                <w:sz w:val="18"/>
                <w:szCs w:val="18"/>
              </w:rPr>
            </w:pPr>
            <w:r w:rsidRPr="00410CFD">
              <w:rPr>
                <w:rFonts w:ascii="Arial" w:hAnsi="Arial" w:cs="Arial"/>
                <w:color w:val="auto"/>
                <w:sz w:val="18"/>
                <w:szCs w:val="18"/>
              </w:rPr>
              <w:t>Κλάδος</w:t>
            </w:r>
          </w:p>
        </w:tc>
        <w:tc>
          <w:tcPr>
            <w:tcW w:w="354"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Ν</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lang w:val="en-US"/>
              </w:rPr>
            </w:pPr>
            <w:r w:rsidRPr="00410CFD">
              <w:rPr>
                <w:rFonts w:ascii="Arial" w:hAnsi="Arial" w:cs="Arial"/>
                <w:b/>
                <w:color w:val="auto"/>
                <w:sz w:val="18"/>
                <w:szCs w:val="18"/>
              </w:rPr>
              <w:t>εκ</w:t>
            </w:r>
            <w:r w:rsidRPr="00410CFD">
              <w:rPr>
                <w:rFonts w:ascii="Arial" w:hAnsi="Arial" w:cs="Arial"/>
                <w:b/>
                <w:color w:val="auto"/>
                <w:sz w:val="18"/>
                <w:szCs w:val="18"/>
                <w:lang w:val="en-US"/>
              </w:rPr>
              <w:t>.</w:t>
            </w:r>
            <w:r w:rsidRPr="00410CFD">
              <w:rPr>
                <w:rFonts w:ascii="Arial" w:hAnsi="Arial" w:cs="Arial"/>
                <w:b/>
                <w:color w:val="auto"/>
                <w:sz w:val="18"/>
                <w:szCs w:val="18"/>
              </w:rPr>
              <w:t xml:space="preserve"> €</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proofErr w:type="spellStart"/>
            <w:r w:rsidRPr="00410CFD">
              <w:rPr>
                <w:rFonts w:ascii="Arial" w:hAnsi="Arial" w:cs="Arial"/>
                <w:b/>
                <w:color w:val="auto"/>
                <w:sz w:val="18"/>
                <w:szCs w:val="18"/>
              </w:rPr>
              <w:t>μ.ο</w:t>
            </w:r>
            <w:proofErr w:type="spellEnd"/>
            <w:r w:rsidRPr="00410CFD">
              <w:rPr>
                <w:rFonts w:ascii="Arial" w:hAnsi="Arial" w:cs="Arial"/>
                <w:b/>
                <w:color w:val="auto"/>
                <w:sz w:val="18"/>
                <w:szCs w:val="18"/>
              </w:rPr>
              <w:t>. χιλ. €</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εκ. €</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proofErr w:type="spellStart"/>
            <w:r w:rsidRPr="00410CFD">
              <w:rPr>
                <w:rFonts w:ascii="Arial" w:hAnsi="Arial" w:cs="Arial"/>
                <w:b/>
                <w:color w:val="auto"/>
                <w:sz w:val="18"/>
                <w:szCs w:val="18"/>
              </w:rPr>
              <w:t>μ.ο</w:t>
            </w:r>
            <w:proofErr w:type="spellEnd"/>
            <w:r w:rsidRPr="00410CFD">
              <w:rPr>
                <w:rFonts w:ascii="Arial" w:hAnsi="Arial" w:cs="Arial"/>
                <w:b/>
                <w:color w:val="auto"/>
                <w:sz w:val="18"/>
                <w:szCs w:val="18"/>
              </w:rPr>
              <w:t>. χιλ. €</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εκ. €</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w:t>
            </w:r>
          </w:p>
        </w:tc>
        <w:tc>
          <w:tcPr>
            <w:tcW w:w="341" w:type="pct"/>
            <w:tcBorders>
              <w:top w:val="single" w:sz="4" w:space="0" w:color="auto"/>
              <w:left w:val="single" w:sz="4" w:space="0" w:color="auto"/>
              <w:bottom w:val="single" w:sz="4" w:space="0" w:color="auto"/>
              <w:right w:val="single" w:sz="4" w:space="0" w:color="auto"/>
            </w:tcBorders>
            <w:vAlign w:val="bottom"/>
          </w:tcPr>
          <w:p w:rsidR="0081114E" w:rsidRPr="00410CFD" w:rsidRDefault="0081114E" w:rsidP="0081114E">
            <w:pPr>
              <w:spacing w:before="60" w:after="60"/>
              <w:jc w:val="center"/>
              <w:cnfStyle w:val="000000100000"/>
              <w:rPr>
                <w:rFonts w:ascii="Arial" w:hAnsi="Arial" w:cs="Arial"/>
                <w:b/>
                <w:color w:val="auto"/>
                <w:sz w:val="18"/>
                <w:szCs w:val="18"/>
              </w:rPr>
            </w:pPr>
            <w:proofErr w:type="spellStart"/>
            <w:r w:rsidRPr="00410CFD">
              <w:rPr>
                <w:rFonts w:ascii="Arial" w:hAnsi="Arial" w:cs="Arial"/>
                <w:b/>
                <w:color w:val="auto"/>
                <w:sz w:val="18"/>
                <w:szCs w:val="18"/>
              </w:rPr>
              <w:t>μ.ο</w:t>
            </w:r>
            <w:proofErr w:type="spellEnd"/>
            <w:r w:rsidRPr="00410CFD">
              <w:rPr>
                <w:rFonts w:ascii="Arial" w:hAnsi="Arial" w:cs="Arial"/>
                <w:b/>
                <w:color w:val="auto"/>
                <w:sz w:val="18"/>
                <w:szCs w:val="18"/>
              </w:rPr>
              <w:t>. χιλ. €</w:t>
            </w:r>
          </w:p>
        </w:tc>
        <w:tc>
          <w:tcPr>
            <w:tcW w:w="425" w:type="pct"/>
            <w:tcBorders>
              <w:top w:val="single" w:sz="4" w:space="0" w:color="auto"/>
              <w:left w:val="single" w:sz="4" w:space="0" w:color="auto"/>
              <w:bottom w:val="single" w:sz="4" w:space="0" w:color="auto"/>
              <w:right w:val="single" w:sz="4" w:space="0" w:color="auto"/>
            </w:tcBorders>
            <w:vAlign w:val="bottom"/>
          </w:tcPr>
          <w:p w:rsidR="0081114E" w:rsidRPr="00410CFD" w:rsidRDefault="000808AB" w:rsidP="0081114E">
            <w:pPr>
              <w:spacing w:before="60" w:after="60"/>
              <w:jc w:val="center"/>
              <w:cnfStyle w:val="000000100000"/>
              <w:rPr>
                <w:rFonts w:ascii="Arial" w:hAnsi="Arial" w:cs="Arial"/>
                <w:b/>
                <w:color w:val="auto"/>
                <w:sz w:val="18"/>
                <w:szCs w:val="18"/>
              </w:rPr>
            </w:pPr>
            <w:r w:rsidRPr="00410CFD">
              <w:rPr>
                <w:rFonts w:ascii="Arial" w:hAnsi="Arial" w:cs="Arial"/>
                <w:b/>
                <w:color w:val="auto"/>
                <w:sz w:val="18"/>
                <w:szCs w:val="18"/>
              </w:rPr>
              <w:t xml:space="preserve">% </w:t>
            </w:r>
            <w:proofErr w:type="spellStart"/>
            <w:r w:rsidRPr="00410CFD">
              <w:rPr>
                <w:rFonts w:ascii="Arial" w:hAnsi="Arial" w:cs="Arial"/>
                <w:b/>
                <w:color w:val="auto"/>
                <w:sz w:val="18"/>
                <w:szCs w:val="18"/>
              </w:rPr>
              <w:t>π</w:t>
            </w:r>
            <w:r w:rsidR="0081114E" w:rsidRPr="00410CFD">
              <w:rPr>
                <w:rFonts w:ascii="Arial" w:hAnsi="Arial" w:cs="Arial"/>
                <w:b/>
                <w:color w:val="auto"/>
                <w:sz w:val="18"/>
                <w:szCs w:val="18"/>
              </w:rPr>
              <w:t>ρ</w:t>
            </w:r>
            <w:proofErr w:type="spellEnd"/>
            <w:r w:rsidR="0081114E" w:rsidRPr="00410CFD">
              <w:rPr>
                <w:rFonts w:ascii="Arial" w:hAnsi="Arial" w:cs="Arial"/>
                <w:b/>
                <w:color w:val="auto"/>
                <w:sz w:val="18"/>
                <w:szCs w:val="18"/>
              </w:rPr>
              <w:t>/μού</w:t>
            </w:r>
          </w:p>
        </w:tc>
      </w:tr>
      <w:tr w:rsidR="0081114E" w:rsidRPr="00410CFD" w:rsidTr="0081114E">
        <w:tc>
          <w:tcPr>
            <w:cnfStyle w:val="001000000000"/>
            <w:tcW w:w="814" w:type="pct"/>
            <w:tcBorders>
              <w:top w:val="single" w:sz="4" w:space="0" w:color="auto"/>
            </w:tcBorders>
            <w:vAlign w:val="center"/>
          </w:tcPr>
          <w:p w:rsidR="0081114E" w:rsidRPr="00410CFD" w:rsidRDefault="0081114E" w:rsidP="004B6075">
            <w:pPr>
              <w:spacing w:before="60" w:after="60"/>
              <w:rPr>
                <w:rFonts w:ascii="Arial" w:hAnsi="Arial" w:cs="Arial"/>
                <w:sz w:val="18"/>
                <w:szCs w:val="18"/>
              </w:rPr>
            </w:pPr>
            <w:r w:rsidRPr="00410CFD">
              <w:rPr>
                <w:rFonts w:ascii="Arial" w:hAnsi="Arial" w:cs="Arial"/>
                <w:sz w:val="18"/>
                <w:szCs w:val="18"/>
              </w:rPr>
              <w:t>Μεταποίηση</w:t>
            </w:r>
          </w:p>
        </w:tc>
        <w:tc>
          <w:tcPr>
            <w:tcW w:w="354"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299</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61.39</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30.32</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68.35</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101.4</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29.22</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97.75</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68.44</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12.62</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69.69</w:t>
            </w:r>
          </w:p>
        </w:tc>
        <w:tc>
          <w:tcPr>
            <w:tcW w:w="341"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42.22</w:t>
            </w:r>
          </w:p>
        </w:tc>
        <w:tc>
          <w:tcPr>
            <w:tcW w:w="425" w:type="pct"/>
            <w:tcBorders>
              <w:top w:val="single" w:sz="4" w:space="0" w:color="auto"/>
            </w:tcBorders>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41.63</w:t>
            </w:r>
          </w:p>
        </w:tc>
      </w:tr>
      <w:tr w:rsidR="0081114E" w:rsidRPr="00410CFD" w:rsidTr="0081114E">
        <w:trPr>
          <w:cnfStyle w:val="000000100000"/>
        </w:trPr>
        <w:tc>
          <w:tcPr>
            <w:cnfStyle w:val="001000000000"/>
            <w:tcW w:w="814" w:type="pct"/>
            <w:vAlign w:val="center"/>
          </w:tcPr>
          <w:p w:rsidR="0081114E" w:rsidRPr="00410CFD" w:rsidRDefault="0081114E" w:rsidP="004B6075">
            <w:pPr>
              <w:spacing w:before="60" w:after="60"/>
              <w:rPr>
                <w:rFonts w:ascii="Arial" w:hAnsi="Arial" w:cs="Arial"/>
                <w:sz w:val="18"/>
                <w:szCs w:val="18"/>
              </w:rPr>
            </w:pPr>
            <w:r w:rsidRPr="00410CFD">
              <w:rPr>
                <w:rFonts w:ascii="Arial" w:hAnsi="Arial" w:cs="Arial"/>
                <w:sz w:val="18"/>
                <w:szCs w:val="18"/>
              </w:rPr>
              <w:t>Εμπόριο</w:t>
            </w:r>
          </w:p>
        </w:tc>
        <w:tc>
          <w:tcPr>
            <w:tcW w:w="354"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73</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14.98</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6.140</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13.84</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84.11</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5.915</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81.03</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13.85</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2.170</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11.98</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29.73</w:t>
            </w:r>
          </w:p>
        </w:tc>
        <w:tc>
          <w:tcPr>
            <w:tcW w:w="425"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35.34</w:t>
            </w:r>
          </w:p>
        </w:tc>
      </w:tr>
      <w:tr w:rsidR="0081114E" w:rsidRPr="00410CFD" w:rsidTr="0081114E">
        <w:tc>
          <w:tcPr>
            <w:cnfStyle w:val="001000000000"/>
            <w:tcW w:w="814" w:type="pct"/>
            <w:vAlign w:val="center"/>
          </w:tcPr>
          <w:p w:rsidR="0081114E" w:rsidRPr="00410CFD" w:rsidRDefault="0081114E" w:rsidP="004B6075">
            <w:pPr>
              <w:spacing w:before="60" w:after="60"/>
              <w:rPr>
                <w:rFonts w:ascii="Arial" w:hAnsi="Arial" w:cs="Arial"/>
                <w:sz w:val="18"/>
                <w:szCs w:val="18"/>
              </w:rPr>
            </w:pPr>
            <w:r w:rsidRPr="00410CFD">
              <w:rPr>
                <w:rFonts w:ascii="Arial" w:hAnsi="Arial" w:cs="Arial"/>
                <w:sz w:val="18"/>
                <w:szCs w:val="18"/>
              </w:rPr>
              <w:t>ΤΠΕ</w:t>
            </w:r>
          </w:p>
        </w:tc>
        <w:tc>
          <w:tcPr>
            <w:tcW w:w="354"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53</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10.88</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3.167</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7.140</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59.77</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3.036</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57.28</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7.109</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1.358</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7.500</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25.63</w:t>
            </w:r>
          </w:p>
        </w:tc>
        <w:tc>
          <w:tcPr>
            <w:tcW w:w="425"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42.89</w:t>
            </w:r>
          </w:p>
        </w:tc>
      </w:tr>
      <w:tr w:rsidR="0081114E" w:rsidRPr="00410CFD" w:rsidTr="0081114E">
        <w:trPr>
          <w:cnfStyle w:val="000000100000"/>
        </w:trPr>
        <w:tc>
          <w:tcPr>
            <w:cnfStyle w:val="001000000000"/>
            <w:tcW w:w="814" w:type="pct"/>
            <w:vAlign w:val="center"/>
          </w:tcPr>
          <w:p w:rsidR="0081114E" w:rsidRPr="00410CFD" w:rsidRDefault="0081114E" w:rsidP="004B6075">
            <w:pPr>
              <w:spacing w:before="60" w:after="60"/>
              <w:rPr>
                <w:rFonts w:ascii="Arial" w:hAnsi="Arial" w:cs="Arial"/>
                <w:sz w:val="18"/>
                <w:szCs w:val="18"/>
              </w:rPr>
            </w:pPr>
            <w:r w:rsidRPr="00410CFD">
              <w:rPr>
                <w:rFonts w:ascii="Arial" w:hAnsi="Arial" w:cs="Arial"/>
                <w:sz w:val="18"/>
                <w:szCs w:val="18"/>
              </w:rPr>
              <w:t>Άλλο</w:t>
            </w:r>
          </w:p>
        </w:tc>
        <w:tc>
          <w:tcPr>
            <w:tcW w:w="354"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18</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3.696</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1.877</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4.231</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104.2</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1.815</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100.8</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4.250</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0.799</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4.414</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44.42</w:t>
            </w:r>
          </w:p>
        </w:tc>
        <w:tc>
          <w:tcPr>
            <w:tcW w:w="425"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42.59</w:t>
            </w:r>
          </w:p>
        </w:tc>
      </w:tr>
      <w:tr w:rsidR="0081114E" w:rsidRPr="00410CFD" w:rsidTr="0081114E">
        <w:tc>
          <w:tcPr>
            <w:cnfStyle w:val="001000000000"/>
            <w:tcW w:w="814" w:type="pct"/>
            <w:vAlign w:val="center"/>
          </w:tcPr>
          <w:p w:rsidR="0081114E" w:rsidRPr="00410CFD" w:rsidRDefault="0081114E" w:rsidP="004B6075">
            <w:pPr>
              <w:spacing w:before="60" w:after="60"/>
              <w:rPr>
                <w:rFonts w:ascii="Arial" w:hAnsi="Arial" w:cs="Arial"/>
                <w:sz w:val="18"/>
                <w:szCs w:val="18"/>
              </w:rPr>
            </w:pPr>
            <w:proofErr w:type="spellStart"/>
            <w:r w:rsidRPr="00410CFD">
              <w:rPr>
                <w:rFonts w:ascii="Arial" w:hAnsi="Arial" w:cs="Arial"/>
                <w:sz w:val="18"/>
                <w:szCs w:val="18"/>
              </w:rPr>
              <w:t>Επαγ</w:t>
            </w:r>
            <w:proofErr w:type="spellEnd"/>
            <w:r w:rsidRPr="00410CFD">
              <w:rPr>
                <w:rFonts w:ascii="Arial" w:hAnsi="Arial" w:cs="Arial"/>
                <w:sz w:val="18"/>
                <w:szCs w:val="18"/>
              </w:rPr>
              <w:t xml:space="preserve">/Επιστ. </w:t>
            </w:r>
            <w:proofErr w:type="spellStart"/>
            <w:r w:rsidRPr="00410CFD">
              <w:rPr>
                <w:rFonts w:ascii="Arial" w:hAnsi="Arial" w:cs="Arial"/>
                <w:sz w:val="18"/>
                <w:szCs w:val="18"/>
              </w:rPr>
              <w:t>Δραστηριότ</w:t>
            </w:r>
            <w:proofErr w:type="spellEnd"/>
            <w:r w:rsidRPr="00410CFD">
              <w:rPr>
                <w:rFonts w:ascii="Arial" w:hAnsi="Arial" w:cs="Arial"/>
                <w:sz w:val="18"/>
                <w:szCs w:val="18"/>
              </w:rPr>
              <w:t>.</w:t>
            </w:r>
          </w:p>
        </w:tc>
        <w:tc>
          <w:tcPr>
            <w:tcW w:w="354"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29</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5.954</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1.444</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3.255</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49.81</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1.321</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45.56</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3.094</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0.590</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3.261</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20.37</w:t>
            </w:r>
          </w:p>
        </w:tc>
        <w:tc>
          <w:tcPr>
            <w:tcW w:w="425"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40.90</w:t>
            </w:r>
          </w:p>
        </w:tc>
      </w:tr>
      <w:tr w:rsidR="0081114E" w:rsidRPr="00410CFD" w:rsidTr="0081114E">
        <w:trPr>
          <w:cnfStyle w:val="000000100000"/>
        </w:trPr>
        <w:tc>
          <w:tcPr>
            <w:cnfStyle w:val="001000000000"/>
            <w:tcW w:w="814" w:type="pct"/>
            <w:vAlign w:val="center"/>
          </w:tcPr>
          <w:p w:rsidR="0081114E" w:rsidRPr="00410CFD" w:rsidRDefault="0081114E" w:rsidP="004B6075">
            <w:pPr>
              <w:spacing w:before="60" w:after="60"/>
              <w:rPr>
                <w:rFonts w:ascii="Arial" w:hAnsi="Arial" w:cs="Arial"/>
                <w:sz w:val="18"/>
                <w:szCs w:val="18"/>
              </w:rPr>
            </w:pPr>
            <w:r w:rsidRPr="00410CFD">
              <w:rPr>
                <w:rFonts w:ascii="Arial" w:hAnsi="Arial" w:cs="Arial"/>
                <w:sz w:val="18"/>
                <w:szCs w:val="18"/>
              </w:rPr>
              <w:t>Κατασκευές</w:t>
            </w:r>
          </w:p>
        </w:tc>
        <w:tc>
          <w:tcPr>
            <w:tcW w:w="354"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10</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2.053</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0.892</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2.011</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89.24</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0.881</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88.16</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2.064</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0.374</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2.066</w:t>
            </w:r>
          </w:p>
        </w:tc>
        <w:tc>
          <w:tcPr>
            <w:tcW w:w="341"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37.43</w:t>
            </w:r>
          </w:p>
        </w:tc>
        <w:tc>
          <w:tcPr>
            <w:tcW w:w="425" w:type="pct"/>
            <w:vAlign w:val="center"/>
          </w:tcPr>
          <w:p w:rsidR="0081114E" w:rsidRPr="00410CFD" w:rsidRDefault="0081114E" w:rsidP="004B6075">
            <w:pPr>
              <w:spacing w:before="60" w:after="60"/>
              <w:jc w:val="center"/>
              <w:cnfStyle w:val="000000100000"/>
              <w:rPr>
                <w:rFonts w:ascii="Arial" w:hAnsi="Arial" w:cs="Arial"/>
                <w:sz w:val="18"/>
                <w:szCs w:val="18"/>
              </w:rPr>
            </w:pPr>
            <w:r w:rsidRPr="00410CFD">
              <w:rPr>
                <w:rFonts w:ascii="Arial" w:hAnsi="Arial" w:cs="Arial"/>
                <w:sz w:val="18"/>
                <w:szCs w:val="18"/>
              </w:rPr>
              <w:t>41.94</w:t>
            </w:r>
          </w:p>
        </w:tc>
      </w:tr>
      <w:tr w:rsidR="0081114E" w:rsidRPr="00410CFD" w:rsidTr="0081114E">
        <w:tc>
          <w:tcPr>
            <w:cnfStyle w:val="001000000000"/>
            <w:tcW w:w="814" w:type="pct"/>
            <w:vAlign w:val="center"/>
          </w:tcPr>
          <w:p w:rsidR="0081114E" w:rsidRPr="00410CFD" w:rsidRDefault="0081114E" w:rsidP="004B6075">
            <w:pPr>
              <w:spacing w:before="60" w:after="60"/>
              <w:rPr>
                <w:rFonts w:ascii="Arial" w:hAnsi="Arial" w:cs="Arial"/>
                <w:sz w:val="18"/>
                <w:szCs w:val="18"/>
              </w:rPr>
            </w:pPr>
            <w:r w:rsidRPr="00410CFD">
              <w:rPr>
                <w:rFonts w:ascii="Arial" w:hAnsi="Arial" w:cs="Arial"/>
                <w:sz w:val="18"/>
                <w:szCs w:val="18"/>
              </w:rPr>
              <w:t>Υγεία</w:t>
            </w:r>
          </w:p>
        </w:tc>
        <w:tc>
          <w:tcPr>
            <w:tcW w:w="354"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5</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1.026</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0.518</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1.169</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103.7</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0.506</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101.2</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1.185</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0.196</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1.083</w:t>
            </w:r>
          </w:p>
        </w:tc>
        <w:tc>
          <w:tcPr>
            <w:tcW w:w="341"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39.25</w:t>
            </w:r>
          </w:p>
        </w:tc>
        <w:tc>
          <w:tcPr>
            <w:tcW w:w="425" w:type="pct"/>
            <w:vAlign w:val="center"/>
          </w:tcPr>
          <w:p w:rsidR="0081114E" w:rsidRPr="00410CFD" w:rsidRDefault="0081114E" w:rsidP="004B6075">
            <w:pPr>
              <w:spacing w:before="60" w:after="60"/>
              <w:jc w:val="center"/>
              <w:cnfStyle w:val="000000000000"/>
              <w:rPr>
                <w:rFonts w:ascii="Arial" w:hAnsi="Arial" w:cs="Arial"/>
                <w:sz w:val="18"/>
                <w:szCs w:val="18"/>
              </w:rPr>
            </w:pPr>
            <w:r w:rsidRPr="00410CFD">
              <w:rPr>
                <w:rFonts w:ascii="Arial" w:hAnsi="Arial" w:cs="Arial"/>
                <w:sz w:val="18"/>
                <w:szCs w:val="18"/>
              </w:rPr>
              <w:t>37.84</w:t>
            </w:r>
          </w:p>
        </w:tc>
      </w:tr>
    </w:tbl>
    <w:p w:rsidR="00CB3F42" w:rsidRDefault="00CB3F42" w:rsidP="00CB3F42">
      <w:pPr>
        <w:ind w:firstLine="426"/>
        <w:jc w:val="both"/>
        <w:rPr>
          <w:rFonts w:ascii="Arial" w:hAnsi="Arial" w:cs="Arial"/>
          <w:b/>
        </w:rPr>
      </w:pPr>
    </w:p>
    <w:p w:rsidR="00D50155" w:rsidRPr="00CB3F42" w:rsidRDefault="00D50155" w:rsidP="00CB3F42">
      <w:pPr>
        <w:ind w:firstLine="426"/>
        <w:jc w:val="both"/>
        <w:rPr>
          <w:rFonts w:ascii="Arial" w:hAnsi="Arial" w:cs="Arial"/>
        </w:rPr>
      </w:pPr>
      <w:r w:rsidRPr="003801A0">
        <w:rPr>
          <w:rFonts w:ascii="Arial" w:hAnsi="Arial" w:cs="Arial"/>
        </w:rPr>
        <w:t xml:space="preserve">Επί συνόλου 487 ολοκληρωμένων έργων, </w:t>
      </w:r>
      <w:r w:rsidR="00844DC0" w:rsidRPr="003801A0">
        <w:rPr>
          <w:rFonts w:ascii="Arial" w:hAnsi="Arial" w:cs="Arial"/>
        </w:rPr>
        <w:t xml:space="preserve">το 61,4% </w:t>
      </w:r>
      <w:r w:rsidRPr="003801A0">
        <w:rPr>
          <w:rFonts w:ascii="Arial" w:hAnsi="Arial" w:cs="Arial"/>
        </w:rPr>
        <w:t>ανήκ</w:t>
      </w:r>
      <w:r w:rsidR="00844DC0" w:rsidRPr="003801A0">
        <w:rPr>
          <w:rFonts w:ascii="Arial" w:hAnsi="Arial" w:cs="Arial"/>
        </w:rPr>
        <w:t>ει</w:t>
      </w:r>
      <w:r w:rsidRPr="003801A0">
        <w:rPr>
          <w:rFonts w:ascii="Arial" w:hAnsi="Arial" w:cs="Arial"/>
        </w:rPr>
        <w:t xml:space="preserve"> στη μεταποίηση </w:t>
      </w:r>
      <w:r w:rsidR="00844DC0" w:rsidRPr="003801A0">
        <w:rPr>
          <w:rFonts w:ascii="Arial" w:hAnsi="Arial" w:cs="Arial"/>
        </w:rPr>
        <w:t>(299 έργα)</w:t>
      </w:r>
      <w:r w:rsidRPr="003801A0">
        <w:rPr>
          <w:rFonts w:ascii="Arial" w:hAnsi="Arial" w:cs="Arial"/>
        </w:rPr>
        <w:t>.</w:t>
      </w:r>
      <w:r w:rsidRPr="00CB3F42">
        <w:rPr>
          <w:rFonts w:ascii="Arial" w:hAnsi="Arial" w:cs="Arial"/>
        </w:rPr>
        <w:t xml:space="preserve"> Επιπλέον, το 15% ανήκει στο εμπόριο</w:t>
      </w:r>
      <w:r w:rsidR="00D6133E" w:rsidRPr="00CB3F42">
        <w:rPr>
          <w:rFonts w:ascii="Arial" w:hAnsi="Arial" w:cs="Arial"/>
        </w:rPr>
        <w:t xml:space="preserve"> (73)</w:t>
      </w:r>
      <w:r w:rsidRPr="00CB3F42">
        <w:rPr>
          <w:rFonts w:ascii="Arial" w:hAnsi="Arial" w:cs="Arial"/>
        </w:rPr>
        <w:t xml:space="preserve">, το 10,88% σε Τεχνολογίες Πληροφορικής και Επικοινωνιών </w:t>
      </w:r>
      <w:r w:rsidR="00D6133E" w:rsidRPr="00CB3F42">
        <w:rPr>
          <w:rFonts w:ascii="Arial" w:hAnsi="Arial" w:cs="Arial"/>
        </w:rPr>
        <w:t xml:space="preserve">– </w:t>
      </w:r>
      <w:r w:rsidRPr="00CB3F42">
        <w:rPr>
          <w:rFonts w:ascii="Arial" w:hAnsi="Arial" w:cs="Arial"/>
        </w:rPr>
        <w:t>ΠΕ</w:t>
      </w:r>
      <w:r w:rsidR="00D6133E" w:rsidRPr="00CB3F42">
        <w:rPr>
          <w:rFonts w:ascii="Arial" w:hAnsi="Arial" w:cs="Arial"/>
        </w:rPr>
        <w:t xml:space="preserve"> (53</w:t>
      </w:r>
      <w:r w:rsidRPr="00CB3F42">
        <w:rPr>
          <w:rFonts w:ascii="Arial" w:hAnsi="Arial" w:cs="Arial"/>
        </w:rPr>
        <w:t>), το 5,95% σε επαγγε</w:t>
      </w:r>
      <w:r w:rsidR="00E91465" w:rsidRPr="00CB3F42">
        <w:rPr>
          <w:rFonts w:ascii="Arial" w:hAnsi="Arial" w:cs="Arial"/>
        </w:rPr>
        <w:t>λ</w:t>
      </w:r>
      <w:r w:rsidRPr="00CB3F42">
        <w:rPr>
          <w:rFonts w:ascii="Arial" w:hAnsi="Arial" w:cs="Arial"/>
        </w:rPr>
        <w:t>ματικές</w:t>
      </w:r>
      <w:r w:rsidR="00E91465" w:rsidRPr="00CB3F42">
        <w:rPr>
          <w:rFonts w:ascii="Arial" w:hAnsi="Arial" w:cs="Arial"/>
        </w:rPr>
        <w:t>/επιστημονικές δραστηριότητες, το 2,05% στις κατασκευές, το 1,03% στην υγεία και το 3,7% συμπεριλαμβάνεται στην κατηγορία «άλλο».</w:t>
      </w:r>
    </w:p>
    <w:p w:rsidR="00E36F5A" w:rsidRPr="00410CFD" w:rsidRDefault="00A036E3" w:rsidP="00CB3F42">
      <w:pPr>
        <w:jc w:val="center"/>
        <w:rPr>
          <w:rFonts w:ascii="Arial" w:hAnsi="Arial" w:cs="Arial"/>
          <w:sz w:val="18"/>
          <w:szCs w:val="18"/>
        </w:rPr>
      </w:pPr>
      <w:r w:rsidRPr="00226402">
        <w:rPr>
          <w:rFonts w:ascii="Arial" w:hAnsi="Arial" w:cs="Arial"/>
          <w:b/>
        </w:rPr>
        <w:t>Αριθμός ολοκληρωμένων έργων ανά κλάδο</w:t>
      </w:r>
      <w:r w:rsidR="00E36F5A" w:rsidRPr="00410CFD">
        <w:rPr>
          <w:rFonts w:ascii="Arial" w:hAnsi="Arial" w:cs="Arial"/>
          <w:noProof/>
          <w:sz w:val="18"/>
          <w:szCs w:val="18"/>
          <w:lang w:eastAsia="el-GR"/>
        </w:rPr>
        <w:drawing>
          <wp:inline distT="0" distB="0" distL="0" distR="0">
            <wp:extent cx="5207374" cy="3908611"/>
            <wp:effectExtent l="19050" t="0" r="0" b="0"/>
            <wp:docPr id="2" name="Εικόνα 1" descr="Z:\DMME\!Common\NEA ΔΜΜΕ\Γ.Θ. Γ' ΤΜΗΜΑ\ΣΤΑΤΙΣΤΙΚΗ ΑΝΑΛΥΣΗ ΠΡΟΓΡΑΜΜΑΤΩΝ\ΕΞΩΣΤΡΕΦΕΙΑ2\διαγράμματα\diagr\Αριθμός Έργω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MME\!Common\NEA ΔΜΜΕ\Γ.Θ. Γ' ΤΜΗΜΑ\ΣΤΑΤΙΣΤΙΚΗ ΑΝΑΛΥΣΗ ΠΡΟΓΡΑΜΜΑΤΩΝ\ΕΞΩΣΤΡΕΦΕΙΑ2\διαγράμματα\diagr\Αριθμός Έργων.png"/>
                    <pic:cNvPicPr>
                      <a:picLocks noChangeAspect="1" noChangeArrowheads="1"/>
                    </pic:cNvPicPr>
                  </pic:nvPicPr>
                  <pic:blipFill>
                    <a:blip r:embed="rId9" cstate="print"/>
                    <a:srcRect/>
                    <a:stretch>
                      <a:fillRect/>
                    </a:stretch>
                  </pic:blipFill>
                  <pic:spPr bwMode="auto">
                    <a:xfrm>
                      <a:off x="0" y="0"/>
                      <a:ext cx="5211363" cy="3911605"/>
                    </a:xfrm>
                    <a:prstGeom prst="rect">
                      <a:avLst/>
                    </a:prstGeom>
                    <a:noFill/>
                    <a:ln w="9525">
                      <a:noFill/>
                      <a:miter lim="800000"/>
                      <a:headEnd/>
                      <a:tailEnd/>
                    </a:ln>
                  </pic:spPr>
                </pic:pic>
              </a:graphicData>
            </a:graphic>
          </wp:inline>
        </w:drawing>
      </w:r>
    </w:p>
    <w:p w:rsidR="00A036E3" w:rsidRPr="00CB3F42" w:rsidRDefault="00A036E3" w:rsidP="00CB3F42">
      <w:pPr>
        <w:ind w:firstLine="426"/>
        <w:jc w:val="both"/>
        <w:rPr>
          <w:rFonts w:ascii="Arial" w:hAnsi="Arial" w:cs="Arial"/>
        </w:rPr>
      </w:pPr>
      <w:r w:rsidRPr="00CB3F42">
        <w:rPr>
          <w:rFonts w:ascii="Arial" w:hAnsi="Arial" w:cs="Arial"/>
        </w:rPr>
        <w:t>Η μεταποίηση κατέλαβε το 68,</w:t>
      </w:r>
      <w:r w:rsidR="0097768A" w:rsidRPr="00CB3F42">
        <w:rPr>
          <w:rFonts w:ascii="Arial" w:hAnsi="Arial" w:cs="Arial"/>
        </w:rPr>
        <w:t>44</w:t>
      </w:r>
      <w:r w:rsidRPr="00CB3F42">
        <w:rPr>
          <w:rFonts w:ascii="Arial" w:hAnsi="Arial" w:cs="Arial"/>
        </w:rPr>
        <w:t xml:space="preserve">% του συνολικού Π/Υ των ολοκληρωμένων έργων </w:t>
      </w:r>
      <w:r w:rsidR="0097768A" w:rsidRPr="00CB3F42">
        <w:rPr>
          <w:rFonts w:ascii="Arial" w:hAnsi="Arial" w:cs="Arial"/>
        </w:rPr>
        <w:t xml:space="preserve">(29.229.027,48 ευρώ) </w:t>
      </w:r>
      <w:r w:rsidRPr="00CB3F42">
        <w:rPr>
          <w:rFonts w:ascii="Arial" w:hAnsi="Arial" w:cs="Arial"/>
        </w:rPr>
        <w:t xml:space="preserve">και το 69,69% (12.626.069,31 ευρώ) της </w:t>
      </w:r>
      <w:r w:rsidR="007167E9" w:rsidRPr="00CB3F42">
        <w:rPr>
          <w:rFonts w:ascii="Arial" w:hAnsi="Arial" w:cs="Arial"/>
        </w:rPr>
        <w:t xml:space="preserve">καταβληθείσας </w:t>
      </w:r>
      <w:r w:rsidRPr="00CB3F42">
        <w:rPr>
          <w:rFonts w:ascii="Arial" w:hAnsi="Arial" w:cs="Arial"/>
        </w:rPr>
        <w:t>δημόσιας δαπάνης των ολοκληρωμένων έργων. Αντίστοιχα, το εμπόριο κατέλαβε το 13,8</w:t>
      </w:r>
      <w:r w:rsidR="0097768A" w:rsidRPr="00CB3F42">
        <w:rPr>
          <w:rFonts w:ascii="Arial" w:hAnsi="Arial" w:cs="Arial"/>
        </w:rPr>
        <w:t>5</w:t>
      </w:r>
      <w:r w:rsidRPr="00CB3F42">
        <w:rPr>
          <w:rFonts w:ascii="Arial" w:hAnsi="Arial" w:cs="Arial"/>
        </w:rPr>
        <w:t xml:space="preserve">% </w:t>
      </w:r>
      <w:r w:rsidR="0097768A" w:rsidRPr="00CB3F42">
        <w:rPr>
          <w:rFonts w:ascii="Arial" w:hAnsi="Arial" w:cs="Arial"/>
        </w:rPr>
        <w:t xml:space="preserve">(5.915.898,63 ευρώ) </w:t>
      </w:r>
      <w:r w:rsidRPr="00CB3F42">
        <w:rPr>
          <w:rFonts w:ascii="Arial" w:hAnsi="Arial" w:cs="Arial"/>
        </w:rPr>
        <w:t>του συνολικού Π/Υ των ολοκληρωμένων έργων και το 1</w:t>
      </w:r>
      <w:r w:rsidR="0097768A" w:rsidRPr="00CB3F42">
        <w:rPr>
          <w:rFonts w:ascii="Arial" w:hAnsi="Arial" w:cs="Arial"/>
        </w:rPr>
        <w:t>1</w:t>
      </w:r>
      <w:r w:rsidRPr="00CB3F42">
        <w:rPr>
          <w:rFonts w:ascii="Arial" w:hAnsi="Arial" w:cs="Arial"/>
        </w:rPr>
        <w:t xml:space="preserve">,98% (2.170.424,20 ευρώ) της </w:t>
      </w:r>
      <w:r w:rsidR="007167E9" w:rsidRPr="00CB3F42">
        <w:rPr>
          <w:rFonts w:ascii="Arial" w:hAnsi="Arial" w:cs="Arial"/>
        </w:rPr>
        <w:t xml:space="preserve">καταβληθείσας </w:t>
      </w:r>
      <w:r w:rsidRPr="00CB3F42">
        <w:rPr>
          <w:rFonts w:ascii="Arial" w:hAnsi="Arial" w:cs="Arial"/>
        </w:rPr>
        <w:t xml:space="preserve">δημόσιας </w:t>
      </w:r>
      <w:r w:rsidR="0097768A" w:rsidRPr="00CB3F42">
        <w:rPr>
          <w:rFonts w:ascii="Arial" w:hAnsi="Arial" w:cs="Arial"/>
        </w:rPr>
        <w:t>δαπάνης τους και οι ΤΠΕ το 7,11</w:t>
      </w:r>
      <w:r w:rsidRPr="00CB3F42">
        <w:rPr>
          <w:rFonts w:ascii="Arial" w:hAnsi="Arial" w:cs="Arial"/>
        </w:rPr>
        <w:t>%</w:t>
      </w:r>
      <w:r w:rsidR="0097768A" w:rsidRPr="00CB3F42">
        <w:rPr>
          <w:rFonts w:ascii="Arial" w:hAnsi="Arial" w:cs="Arial"/>
        </w:rPr>
        <w:t xml:space="preserve"> (3.036.018,02 ευρώ) </w:t>
      </w:r>
      <w:r w:rsidRPr="00CB3F42">
        <w:rPr>
          <w:rFonts w:ascii="Arial" w:hAnsi="Arial" w:cs="Arial"/>
        </w:rPr>
        <w:t>και 7,5% (1.358.804,60 ευρώ) αντίστοιχα (για τους υπόλοιπους κλάδους τα σχετικά ποσοστά ανέρχονται σε πολύ χαμηλά επίπεδα</w:t>
      </w:r>
      <w:r w:rsidR="0097768A" w:rsidRPr="00CB3F42">
        <w:rPr>
          <w:rFonts w:ascii="Arial" w:hAnsi="Arial" w:cs="Arial"/>
        </w:rPr>
        <w:t xml:space="preserve"> όπως φαίνεται στο ακόλουθο διάγραμμα</w:t>
      </w:r>
      <w:r w:rsidRPr="00CB3F42">
        <w:rPr>
          <w:rFonts w:ascii="Arial" w:hAnsi="Arial" w:cs="Arial"/>
        </w:rPr>
        <w:t>).</w:t>
      </w:r>
    </w:p>
    <w:p w:rsidR="0097768A" w:rsidRPr="00226402" w:rsidRDefault="0097768A" w:rsidP="00CB3F42">
      <w:pPr>
        <w:jc w:val="center"/>
        <w:rPr>
          <w:rFonts w:ascii="Arial" w:hAnsi="Arial" w:cs="Arial"/>
          <w:b/>
        </w:rPr>
      </w:pPr>
      <w:r w:rsidRPr="00226402">
        <w:rPr>
          <w:rFonts w:ascii="Arial" w:hAnsi="Arial" w:cs="Arial"/>
          <w:b/>
        </w:rPr>
        <w:t>Επιχορηγούμενος Π/Υ ανά κλάδο</w:t>
      </w:r>
    </w:p>
    <w:p w:rsidR="004E64BE" w:rsidRPr="00410CFD" w:rsidRDefault="0097768A" w:rsidP="00A036E3">
      <w:pPr>
        <w:pStyle w:val="a3"/>
        <w:ind w:left="709"/>
        <w:jc w:val="center"/>
        <w:rPr>
          <w:rFonts w:ascii="Arial" w:hAnsi="Arial" w:cs="Arial"/>
          <w:b/>
          <w:sz w:val="18"/>
          <w:szCs w:val="18"/>
        </w:rPr>
      </w:pPr>
      <w:r w:rsidRPr="00410CFD">
        <w:rPr>
          <w:rFonts w:ascii="Arial" w:hAnsi="Arial" w:cs="Arial"/>
          <w:b/>
          <w:noProof/>
          <w:sz w:val="18"/>
          <w:szCs w:val="18"/>
          <w:lang w:eastAsia="el-GR"/>
        </w:rPr>
        <w:drawing>
          <wp:inline distT="0" distB="0" distL="0" distR="0">
            <wp:extent cx="5327164" cy="3030071"/>
            <wp:effectExtent l="19050" t="0" r="6836" b="0"/>
            <wp:docPr id="9" name="Εικόνα 7" descr="Z:\DMME\!Common\NEA ΔΜΜΕ\Γ.Θ. Γ' ΤΜΗΜΑ\ΣΤΑΤΙΣΤΙΚΗ ΑΝΑΛΥΣΗ ΠΡΟΓΡΑΜΜΑΤΩΝ\ΕΞΩΣΤΡΕΦΕΙΑ2\διαγράμματα\diagrams\diagrams\Επιχορηγούμενος Προϋπολογισμός, εκ. ευρ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MME\!Common\NEA ΔΜΜΕ\Γ.Θ. Γ' ΤΜΗΜΑ\ΣΤΑΤΙΣΤΙΚΗ ΑΝΑΛΥΣΗ ΠΡΟΓΡΑΜΜΑΤΩΝ\ΕΞΩΣΤΡΕΦΕΙΑ2\διαγράμματα\diagrams\diagrams\Επιχορηγούμενος Προϋπολογισμός, εκ. ευρώ.png"/>
                    <pic:cNvPicPr>
                      <a:picLocks noChangeAspect="1" noChangeArrowheads="1"/>
                    </pic:cNvPicPr>
                  </pic:nvPicPr>
                  <pic:blipFill>
                    <a:blip r:embed="rId10" cstate="print"/>
                    <a:srcRect/>
                    <a:stretch>
                      <a:fillRect/>
                    </a:stretch>
                  </pic:blipFill>
                  <pic:spPr bwMode="auto">
                    <a:xfrm>
                      <a:off x="0" y="0"/>
                      <a:ext cx="5337488" cy="3035943"/>
                    </a:xfrm>
                    <a:prstGeom prst="rect">
                      <a:avLst/>
                    </a:prstGeom>
                    <a:noFill/>
                    <a:ln w="9525">
                      <a:noFill/>
                      <a:miter lim="800000"/>
                      <a:headEnd/>
                      <a:tailEnd/>
                    </a:ln>
                  </pic:spPr>
                </pic:pic>
              </a:graphicData>
            </a:graphic>
          </wp:inline>
        </w:drawing>
      </w:r>
    </w:p>
    <w:p w:rsidR="004E64BE" w:rsidRPr="00410CFD" w:rsidRDefault="004E64BE" w:rsidP="00A036E3">
      <w:pPr>
        <w:pStyle w:val="a3"/>
        <w:ind w:left="709"/>
        <w:jc w:val="center"/>
        <w:rPr>
          <w:rFonts w:ascii="Arial" w:hAnsi="Arial" w:cs="Arial"/>
          <w:b/>
          <w:sz w:val="18"/>
          <w:szCs w:val="18"/>
        </w:rPr>
      </w:pPr>
    </w:p>
    <w:p w:rsidR="00A036E3" w:rsidRPr="00226402" w:rsidRDefault="00A036E3" w:rsidP="00A036E3">
      <w:pPr>
        <w:pStyle w:val="a3"/>
        <w:ind w:left="709"/>
        <w:jc w:val="center"/>
        <w:rPr>
          <w:rFonts w:ascii="Arial" w:hAnsi="Arial" w:cs="Arial"/>
          <w:b/>
        </w:rPr>
      </w:pPr>
      <w:r w:rsidRPr="00226402">
        <w:rPr>
          <w:rFonts w:ascii="Arial" w:hAnsi="Arial" w:cs="Arial"/>
          <w:b/>
        </w:rPr>
        <w:t>Δημόσια Δαπάνη ολοκλήρωσης ανά κλάδο</w:t>
      </w:r>
    </w:p>
    <w:p w:rsidR="00A036E3" w:rsidRPr="00410CFD" w:rsidRDefault="00FD478D" w:rsidP="00E36F5A">
      <w:pPr>
        <w:pStyle w:val="a3"/>
        <w:ind w:left="709"/>
        <w:jc w:val="both"/>
        <w:rPr>
          <w:rFonts w:ascii="Arial" w:hAnsi="Arial" w:cs="Arial"/>
          <w:sz w:val="18"/>
          <w:szCs w:val="18"/>
        </w:rPr>
      </w:pPr>
      <w:r w:rsidRPr="00410CFD">
        <w:rPr>
          <w:rFonts w:ascii="Arial" w:hAnsi="Arial" w:cs="Arial"/>
          <w:noProof/>
          <w:sz w:val="18"/>
          <w:szCs w:val="18"/>
          <w:lang w:eastAsia="el-GR"/>
        </w:rPr>
        <w:drawing>
          <wp:inline distT="0" distB="0" distL="0" distR="0">
            <wp:extent cx="5439894" cy="3281083"/>
            <wp:effectExtent l="19050" t="0" r="8406" b="0"/>
            <wp:docPr id="7" name="Εικόνα 6" descr="Z:\DMME\!Common\NEA ΔΜΜΕ\Γ.Θ. Γ' ΤΜΗΜΑ\ΣΤΑΤΙΣΤΙΚΗ ΑΝΑΛΥΣΗ ΠΡΟΓΡΑΜΜΑΤΩΝ\ΕΞΩΣΤΡΕΦΕΙΑ2\διαγράμματα\diagrams\diagrams\Δημόσια Δαπάνη Ολοκλήρωσης, εκ. ευρ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MME\!Common\NEA ΔΜΜΕ\Γ.Θ. Γ' ΤΜΗΜΑ\ΣΤΑΤΙΣΤΙΚΗ ΑΝΑΛΥΣΗ ΠΡΟΓΡΑΜΜΑΤΩΝ\ΕΞΩΣΤΡΕΦΕΙΑ2\διαγράμματα\diagrams\diagrams\Δημόσια Δαπάνη Ολοκλήρωσης, εκ. ευρώ.png"/>
                    <pic:cNvPicPr>
                      <a:picLocks noChangeAspect="1" noChangeArrowheads="1"/>
                    </pic:cNvPicPr>
                  </pic:nvPicPr>
                  <pic:blipFill>
                    <a:blip r:embed="rId11" cstate="print"/>
                    <a:srcRect/>
                    <a:stretch>
                      <a:fillRect/>
                    </a:stretch>
                  </pic:blipFill>
                  <pic:spPr bwMode="auto">
                    <a:xfrm>
                      <a:off x="0" y="0"/>
                      <a:ext cx="5438775" cy="3280408"/>
                    </a:xfrm>
                    <a:prstGeom prst="rect">
                      <a:avLst/>
                    </a:prstGeom>
                    <a:noFill/>
                    <a:ln w="9525">
                      <a:noFill/>
                      <a:miter lim="800000"/>
                      <a:headEnd/>
                      <a:tailEnd/>
                    </a:ln>
                  </pic:spPr>
                </pic:pic>
              </a:graphicData>
            </a:graphic>
          </wp:inline>
        </w:drawing>
      </w:r>
    </w:p>
    <w:p w:rsidR="00FD478D" w:rsidRPr="00410CFD" w:rsidRDefault="00FD478D" w:rsidP="00E36F5A">
      <w:pPr>
        <w:pStyle w:val="a3"/>
        <w:ind w:left="709"/>
        <w:jc w:val="both"/>
        <w:rPr>
          <w:rFonts w:ascii="Arial" w:hAnsi="Arial" w:cs="Arial"/>
          <w:sz w:val="18"/>
          <w:szCs w:val="18"/>
        </w:rPr>
      </w:pPr>
    </w:p>
    <w:p w:rsidR="00991760" w:rsidRPr="00410CFD" w:rsidRDefault="00991760" w:rsidP="00E36F5A">
      <w:pPr>
        <w:pStyle w:val="a3"/>
        <w:ind w:left="709"/>
        <w:jc w:val="both"/>
        <w:rPr>
          <w:rFonts w:ascii="Arial" w:hAnsi="Arial" w:cs="Arial"/>
          <w:sz w:val="18"/>
          <w:szCs w:val="18"/>
        </w:rPr>
      </w:pPr>
    </w:p>
    <w:p w:rsidR="00E91465" w:rsidRPr="00CB3F42" w:rsidRDefault="00E91465" w:rsidP="00CB3F42">
      <w:pPr>
        <w:ind w:firstLine="426"/>
        <w:jc w:val="both"/>
        <w:rPr>
          <w:rFonts w:ascii="Arial" w:hAnsi="Arial" w:cs="Arial"/>
        </w:rPr>
      </w:pPr>
      <w:r w:rsidRPr="00CB3F42">
        <w:rPr>
          <w:rFonts w:ascii="Arial" w:hAnsi="Arial" w:cs="Arial"/>
        </w:rPr>
        <w:t xml:space="preserve">Ο μέσος όρος του </w:t>
      </w:r>
      <w:r w:rsidR="00FC7DC5" w:rsidRPr="00CB3F42">
        <w:rPr>
          <w:rFonts w:ascii="Arial" w:hAnsi="Arial" w:cs="Arial"/>
        </w:rPr>
        <w:t>επιχορηγούμενου</w:t>
      </w:r>
      <w:r w:rsidRPr="00CB3F42">
        <w:rPr>
          <w:rFonts w:ascii="Arial" w:hAnsi="Arial" w:cs="Arial"/>
        </w:rPr>
        <w:t xml:space="preserve"> Π/Υ των ενταγμένων έργων της μεταποίησης ανήλθε στο ποσό των </w:t>
      </w:r>
      <w:r w:rsidR="00FC7DC5" w:rsidRPr="00CB3F42">
        <w:rPr>
          <w:rFonts w:ascii="Arial" w:hAnsi="Arial" w:cs="Arial"/>
        </w:rPr>
        <w:t xml:space="preserve">97.755,94 </w:t>
      </w:r>
      <w:r w:rsidRPr="00CB3F42">
        <w:rPr>
          <w:rFonts w:ascii="Arial" w:hAnsi="Arial" w:cs="Arial"/>
        </w:rPr>
        <w:t xml:space="preserve">ευρώ με μέσο όρο </w:t>
      </w:r>
      <w:r w:rsidR="00B943EF" w:rsidRPr="00CB3F42">
        <w:rPr>
          <w:rFonts w:ascii="Arial" w:hAnsi="Arial" w:cs="Arial"/>
        </w:rPr>
        <w:t>(</w:t>
      </w:r>
      <w:proofErr w:type="spellStart"/>
      <w:r w:rsidR="00B943EF" w:rsidRPr="00CB3F42">
        <w:rPr>
          <w:rFonts w:ascii="Arial" w:hAnsi="Arial" w:cs="Arial"/>
        </w:rPr>
        <w:t>μ.ο</w:t>
      </w:r>
      <w:proofErr w:type="spellEnd"/>
      <w:r w:rsidR="00B943EF" w:rsidRPr="00CB3F42">
        <w:rPr>
          <w:rFonts w:ascii="Arial" w:hAnsi="Arial" w:cs="Arial"/>
        </w:rPr>
        <w:t xml:space="preserve">.) </w:t>
      </w:r>
      <w:r w:rsidR="00DD5208" w:rsidRPr="00CB3F42">
        <w:rPr>
          <w:rFonts w:ascii="Arial" w:hAnsi="Arial" w:cs="Arial"/>
        </w:rPr>
        <w:t>δημόσιας δαπάνης 42.227,</w:t>
      </w:r>
      <w:r w:rsidRPr="00CB3F42">
        <w:rPr>
          <w:rFonts w:ascii="Arial" w:hAnsi="Arial" w:cs="Arial"/>
        </w:rPr>
        <w:t>66 ευρώ.</w:t>
      </w:r>
      <w:r w:rsidR="00142477" w:rsidRPr="00CB3F42">
        <w:rPr>
          <w:rFonts w:ascii="Arial" w:hAnsi="Arial" w:cs="Arial"/>
        </w:rPr>
        <w:t xml:space="preserve"> Τα αντίστοιχα ποσά για το εμπόριο ανέρχονται σε </w:t>
      </w:r>
      <w:r w:rsidR="00FC7DC5" w:rsidRPr="00CB3F42">
        <w:rPr>
          <w:rFonts w:ascii="Arial" w:hAnsi="Arial" w:cs="Arial"/>
        </w:rPr>
        <w:t>81</w:t>
      </w:r>
      <w:r w:rsidR="004A5167" w:rsidRPr="00CB3F42">
        <w:rPr>
          <w:rFonts w:ascii="Arial" w:hAnsi="Arial" w:cs="Arial"/>
        </w:rPr>
        <w:t>.</w:t>
      </w:r>
      <w:r w:rsidR="00FC7DC5" w:rsidRPr="00CB3F42">
        <w:rPr>
          <w:rFonts w:ascii="Arial" w:hAnsi="Arial" w:cs="Arial"/>
        </w:rPr>
        <w:t xml:space="preserve">039,70 </w:t>
      </w:r>
      <w:r w:rsidR="00142477" w:rsidRPr="00CB3F42">
        <w:rPr>
          <w:rFonts w:ascii="Arial" w:hAnsi="Arial" w:cs="Arial"/>
        </w:rPr>
        <w:t>ευρώ (</w:t>
      </w:r>
      <w:proofErr w:type="spellStart"/>
      <w:r w:rsidR="00142477" w:rsidRPr="00CB3F42">
        <w:rPr>
          <w:rFonts w:ascii="Arial" w:hAnsi="Arial" w:cs="Arial"/>
        </w:rPr>
        <w:t>μ.ο</w:t>
      </w:r>
      <w:proofErr w:type="spellEnd"/>
      <w:r w:rsidR="00142477" w:rsidRPr="00CB3F42">
        <w:rPr>
          <w:rFonts w:ascii="Arial" w:hAnsi="Arial" w:cs="Arial"/>
        </w:rPr>
        <w:t>. Π/Υ) και 29.731,34 ευρώ (</w:t>
      </w:r>
      <w:proofErr w:type="spellStart"/>
      <w:r w:rsidR="00142477" w:rsidRPr="00CB3F42">
        <w:rPr>
          <w:rFonts w:ascii="Arial" w:hAnsi="Arial" w:cs="Arial"/>
        </w:rPr>
        <w:t>μ.ο</w:t>
      </w:r>
      <w:proofErr w:type="spellEnd"/>
      <w:r w:rsidR="00142477" w:rsidRPr="00CB3F42">
        <w:rPr>
          <w:rFonts w:ascii="Arial" w:hAnsi="Arial" w:cs="Arial"/>
        </w:rPr>
        <w:t xml:space="preserve">. δημόσιας δαπάνης), για τις ΤΠΕ </w:t>
      </w:r>
      <w:r w:rsidR="00FC7DC5" w:rsidRPr="00CB3F42">
        <w:rPr>
          <w:rFonts w:ascii="Arial" w:hAnsi="Arial" w:cs="Arial"/>
        </w:rPr>
        <w:t xml:space="preserve">57283,36 </w:t>
      </w:r>
      <w:r w:rsidR="00142477" w:rsidRPr="00CB3F42">
        <w:rPr>
          <w:rFonts w:ascii="Arial" w:hAnsi="Arial" w:cs="Arial"/>
        </w:rPr>
        <w:t>ευρώ (</w:t>
      </w:r>
      <w:proofErr w:type="spellStart"/>
      <w:r w:rsidR="00142477" w:rsidRPr="00CB3F42">
        <w:rPr>
          <w:rFonts w:ascii="Arial" w:hAnsi="Arial" w:cs="Arial"/>
        </w:rPr>
        <w:t>μ.ο</w:t>
      </w:r>
      <w:proofErr w:type="spellEnd"/>
      <w:r w:rsidR="00142477" w:rsidRPr="00CB3F42">
        <w:rPr>
          <w:rFonts w:ascii="Arial" w:hAnsi="Arial" w:cs="Arial"/>
        </w:rPr>
        <w:t>. Π/Υ) και 25.637,82 ευρώ (</w:t>
      </w:r>
      <w:proofErr w:type="spellStart"/>
      <w:r w:rsidR="00142477" w:rsidRPr="00CB3F42">
        <w:rPr>
          <w:rFonts w:ascii="Arial" w:hAnsi="Arial" w:cs="Arial"/>
        </w:rPr>
        <w:t>μ.ο</w:t>
      </w:r>
      <w:proofErr w:type="spellEnd"/>
      <w:r w:rsidR="00142477" w:rsidRPr="00CB3F42">
        <w:rPr>
          <w:rFonts w:ascii="Arial" w:hAnsi="Arial" w:cs="Arial"/>
        </w:rPr>
        <w:t xml:space="preserve">. δημόσιας δαπάνης), για τις επαγγελματικές/επιστημονικές δραστηριότητες </w:t>
      </w:r>
      <w:r w:rsidR="00AB198E" w:rsidRPr="00CB3F42">
        <w:rPr>
          <w:rFonts w:ascii="Arial" w:hAnsi="Arial" w:cs="Arial"/>
        </w:rPr>
        <w:t xml:space="preserve">45.569,83 </w:t>
      </w:r>
      <w:r w:rsidR="00142477" w:rsidRPr="00CB3F42">
        <w:rPr>
          <w:rFonts w:ascii="Arial" w:hAnsi="Arial" w:cs="Arial"/>
        </w:rPr>
        <w:t>ευρώ (</w:t>
      </w:r>
      <w:proofErr w:type="spellStart"/>
      <w:r w:rsidR="00142477" w:rsidRPr="00CB3F42">
        <w:rPr>
          <w:rFonts w:ascii="Arial" w:hAnsi="Arial" w:cs="Arial"/>
        </w:rPr>
        <w:t>μ.ο</w:t>
      </w:r>
      <w:proofErr w:type="spellEnd"/>
      <w:r w:rsidR="00142477" w:rsidRPr="00CB3F42">
        <w:rPr>
          <w:rFonts w:ascii="Arial" w:hAnsi="Arial" w:cs="Arial"/>
        </w:rPr>
        <w:t>. Π/Υ) και 20.373,41 ευρώ (</w:t>
      </w:r>
      <w:proofErr w:type="spellStart"/>
      <w:r w:rsidR="00142477" w:rsidRPr="00CB3F42">
        <w:rPr>
          <w:rFonts w:ascii="Arial" w:hAnsi="Arial" w:cs="Arial"/>
        </w:rPr>
        <w:t>μ.ο</w:t>
      </w:r>
      <w:proofErr w:type="spellEnd"/>
      <w:r w:rsidR="00142477" w:rsidRPr="00CB3F42">
        <w:rPr>
          <w:rFonts w:ascii="Arial" w:hAnsi="Arial" w:cs="Arial"/>
        </w:rPr>
        <w:t xml:space="preserve">. δημόσιας δαπάνης), για τις κατασκευές </w:t>
      </w:r>
      <w:r w:rsidR="00AB198E" w:rsidRPr="00CB3F42">
        <w:rPr>
          <w:rFonts w:ascii="Arial" w:hAnsi="Arial" w:cs="Arial"/>
        </w:rPr>
        <w:t xml:space="preserve">88.165,38 </w:t>
      </w:r>
      <w:r w:rsidR="00142477" w:rsidRPr="00CB3F42">
        <w:rPr>
          <w:rFonts w:ascii="Arial" w:hAnsi="Arial" w:cs="Arial"/>
        </w:rPr>
        <w:t>ευρώ (</w:t>
      </w:r>
      <w:proofErr w:type="spellStart"/>
      <w:r w:rsidR="00142477" w:rsidRPr="00CB3F42">
        <w:rPr>
          <w:rFonts w:ascii="Arial" w:hAnsi="Arial" w:cs="Arial"/>
        </w:rPr>
        <w:t>μ.ο</w:t>
      </w:r>
      <w:proofErr w:type="spellEnd"/>
      <w:r w:rsidR="00142477" w:rsidRPr="00CB3F42">
        <w:rPr>
          <w:rFonts w:ascii="Arial" w:hAnsi="Arial" w:cs="Arial"/>
        </w:rPr>
        <w:t>. Π/Υ) και 37.434,09 ευρώ (</w:t>
      </w:r>
      <w:proofErr w:type="spellStart"/>
      <w:r w:rsidR="00142477" w:rsidRPr="00CB3F42">
        <w:rPr>
          <w:rFonts w:ascii="Arial" w:hAnsi="Arial" w:cs="Arial"/>
        </w:rPr>
        <w:t>μ.ο</w:t>
      </w:r>
      <w:proofErr w:type="spellEnd"/>
      <w:r w:rsidR="00142477" w:rsidRPr="00CB3F42">
        <w:rPr>
          <w:rFonts w:ascii="Arial" w:hAnsi="Arial" w:cs="Arial"/>
        </w:rPr>
        <w:t>. δημόσιας δαπάνης)</w:t>
      </w:r>
      <w:r w:rsidR="00AB198E" w:rsidRPr="00CB3F42">
        <w:rPr>
          <w:rFonts w:ascii="Arial" w:hAnsi="Arial" w:cs="Arial"/>
        </w:rPr>
        <w:t>, για την υγεία 101.242,28 ευρώ (</w:t>
      </w:r>
      <w:proofErr w:type="spellStart"/>
      <w:r w:rsidR="00AB198E" w:rsidRPr="00CB3F42">
        <w:rPr>
          <w:rFonts w:ascii="Arial" w:hAnsi="Arial" w:cs="Arial"/>
        </w:rPr>
        <w:t>μ.ο</w:t>
      </w:r>
      <w:proofErr w:type="spellEnd"/>
      <w:r w:rsidR="00AB198E" w:rsidRPr="00CB3F42">
        <w:rPr>
          <w:rFonts w:ascii="Arial" w:hAnsi="Arial" w:cs="Arial"/>
        </w:rPr>
        <w:t>. Π/Υ) και 39.258,84 ευρώ (</w:t>
      </w:r>
      <w:proofErr w:type="spellStart"/>
      <w:r w:rsidR="00AB198E" w:rsidRPr="00CB3F42">
        <w:rPr>
          <w:rFonts w:ascii="Arial" w:hAnsi="Arial" w:cs="Arial"/>
        </w:rPr>
        <w:t>μ.ο</w:t>
      </w:r>
      <w:proofErr w:type="spellEnd"/>
      <w:r w:rsidR="00AB198E" w:rsidRPr="00CB3F42">
        <w:rPr>
          <w:rFonts w:ascii="Arial" w:hAnsi="Arial" w:cs="Arial"/>
        </w:rPr>
        <w:t>. δημόσιας δαπάνης)</w:t>
      </w:r>
      <w:r w:rsidR="00142477" w:rsidRPr="00CB3F42">
        <w:rPr>
          <w:rFonts w:ascii="Arial" w:hAnsi="Arial" w:cs="Arial"/>
        </w:rPr>
        <w:t xml:space="preserve"> και για την κατηγορία «άλλο» </w:t>
      </w:r>
      <w:r w:rsidR="00AB198E" w:rsidRPr="00CB3F42">
        <w:rPr>
          <w:rFonts w:ascii="Arial" w:hAnsi="Arial" w:cs="Arial"/>
        </w:rPr>
        <w:t xml:space="preserve">100.847,63 </w:t>
      </w:r>
      <w:r w:rsidR="00142477" w:rsidRPr="00CB3F42">
        <w:rPr>
          <w:rFonts w:ascii="Arial" w:hAnsi="Arial" w:cs="Arial"/>
        </w:rPr>
        <w:t>ευρώ (</w:t>
      </w:r>
      <w:proofErr w:type="spellStart"/>
      <w:r w:rsidR="00142477" w:rsidRPr="00CB3F42">
        <w:rPr>
          <w:rFonts w:ascii="Arial" w:hAnsi="Arial" w:cs="Arial"/>
        </w:rPr>
        <w:t>μ.ο</w:t>
      </w:r>
      <w:proofErr w:type="spellEnd"/>
      <w:r w:rsidR="00142477" w:rsidRPr="00CB3F42">
        <w:rPr>
          <w:rFonts w:ascii="Arial" w:hAnsi="Arial" w:cs="Arial"/>
        </w:rPr>
        <w:t xml:space="preserve">. Π/Υ) και </w:t>
      </w:r>
      <w:r w:rsidR="00AB198E" w:rsidRPr="00CB3F42">
        <w:rPr>
          <w:rFonts w:ascii="Arial" w:hAnsi="Arial" w:cs="Arial"/>
        </w:rPr>
        <w:t xml:space="preserve">44.425,96 </w:t>
      </w:r>
      <w:r w:rsidR="00142477" w:rsidRPr="00CB3F42">
        <w:rPr>
          <w:rFonts w:ascii="Arial" w:hAnsi="Arial" w:cs="Arial"/>
        </w:rPr>
        <w:t>ευρώ (</w:t>
      </w:r>
      <w:proofErr w:type="spellStart"/>
      <w:r w:rsidR="00142477" w:rsidRPr="00CB3F42">
        <w:rPr>
          <w:rFonts w:ascii="Arial" w:hAnsi="Arial" w:cs="Arial"/>
        </w:rPr>
        <w:t>μ.ο</w:t>
      </w:r>
      <w:proofErr w:type="spellEnd"/>
      <w:r w:rsidR="00142477" w:rsidRPr="00CB3F42">
        <w:rPr>
          <w:rFonts w:ascii="Arial" w:hAnsi="Arial" w:cs="Arial"/>
        </w:rPr>
        <w:t>. δημόσιας δαπάνης).</w:t>
      </w:r>
    </w:p>
    <w:p w:rsidR="00DA3FDF" w:rsidRPr="00226402" w:rsidRDefault="00DA3FDF" w:rsidP="001F35E4">
      <w:pPr>
        <w:pStyle w:val="a3"/>
        <w:ind w:left="709"/>
        <w:jc w:val="both"/>
        <w:rPr>
          <w:rFonts w:ascii="Arial" w:hAnsi="Arial" w:cs="Arial"/>
        </w:rPr>
      </w:pPr>
    </w:p>
    <w:p w:rsidR="001F35E4" w:rsidRPr="00226402" w:rsidRDefault="001F35E4" w:rsidP="001F35E4">
      <w:pPr>
        <w:pStyle w:val="a3"/>
        <w:ind w:left="709"/>
        <w:jc w:val="center"/>
        <w:rPr>
          <w:rFonts w:ascii="Arial" w:hAnsi="Arial" w:cs="Arial"/>
          <w:b/>
        </w:rPr>
      </w:pPr>
      <w:r w:rsidRPr="00226402">
        <w:rPr>
          <w:rFonts w:ascii="Arial" w:hAnsi="Arial" w:cs="Arial"/>
          <w:b/>
        </w:rPr>
        <w:t>Μέσος Όρος επιχορηγούμενου Π/Υ ολοκληρώσεων ανά κλάδο</w:t>
      </w:r>
    </w:p>
    <w:p w:rsidR="007B3A21" w:rsidRPr="00410CFD" w:rsidRDefault="007B3A21" w:rsidP="001F35E4">
      <w:pPr>
        <w:pStyle w:val="a3"/>
        <w:ind w:left="709"/>
        <w:jc w:val="center"/>
        <w:rPr>
          <w:rFonts w:ascii="Arial" w:hAnsi="Arial" w:cs="Arial"/>
          <w:b/>
          <w:sz w:val="18"/>
          <w:szCs w:val="18"/>
        </w:rPr>
      </w:pPr>
    </w:p>
    <w:p w:rsidR="004E64BE" w:rsidRPr="00410CFD" w:rsidRDefault="001F35E4" w:rsidP="00FD478D">
      <w:pPr>
        <w:pStyle w:val="a3"/>
        <w:ind w:left="709"/>
        <w:jc w:val="both"/>
        <w:rPr>
          <w:rFonts w:ascii="Arial" w:hAnsi="Arial" w:cs="Arial"/>
          <w:sz w:val="18"/>
          <w:szCs w:val="18"/>
        </w:rPr>
      </w:pPr>
      <w:r w:rsidRPr="00410CFD">
        <w:rPr>
          <w:rFonts w:ascii="Arial" w:hAnsi="Arial" w:cs="Arial"/>
          <w:noProof/>
          <w:sz w:val="18"/>
          <w:szCs w:val="18"/>
          <w:lang w:eastAsia="el-GR"/>
        </w:rPr>
        <w:drawing>
          <wp:inline distT="0" distB="0" distL="0" distR="0">
            <wp:extent cx="5010150" cy="5620871"/>
            <wp:effectExtent l="19050" t="0" r="0" b="0"/>
            <wp:docPr id="11" name="Εικόνα 9" descr="Z:\DMME\!Common\NEA ΔΜΜΕ\Γ.Θ. Γ' ΤΜΗΜΑ\ΣΤΑΤΙΣΤΙΚΗ ΑΝΑΛΥΣΗ ΠΡΟΓΡΑΜΜΑΤΩΝ\ΕΞΩΣΤΡΕΦΕΙΑ2\διαγράμματα\diagrams\diagrams\Επιχορηγούμενος Προϋπολογισμός, μέσος όρος, χιλ. ευρ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MME\!Common\NEA ΔΜΜΕ\Γ.Θ. Γ' ΤΜΗΜΑ\ΣΤΑΤΙΣΤΙΚΗ ΑΝΑΛΥΣΗ ΠΡΟΓΡΑΜΜΑΤΩΝ\ΕΞΩΣΤΡΕΦΕΙΑ2\διαγράμματα\diagrams\diagrams\Επιχορηγούμενος Προϋπολογισμός, μέσος όρος, χιλ. ευρώ.png"/>
                    <pic:cNvPicPr>
                      <a:picLocks noChangeAspect="1" noChangeArrowheads="1"/>
                    </pic:cNvPicPr>
                  </pic:nvPicPr>
                  <pic:blipFill>
                    <a:blip r:embed="rId12" cstate="print"/>
                    <a:srcRect/>
                    <a:stretch>
                      <a:fillRect/>
                    </a:stretch>
                  </pic:blipFill>
                  <pic:spPr bwMode="auto">
                    <a:xfrm>
                      <a:off x="0" y="0"/>
                      <a:ext cx="5016987" cy="5628541"/>
                    </a:xfrm>
                    <a:prstGeom prst="rect">
                      <a:avLst/>
                    </a:prstGeom>
                    <a:noFill/>
                    <a:ln w="9525">
                      <a:noFill/>
                      <a:miter lim="800000"/>
                      <a:headEnd/>
                      <a:tailEnd/>
                    </a:ln>
                  </pic:spPr>
                </pic:pic>
              </a:graphicData>
            </a:graphic>
          </wp:inline>
        </w:drawing>
      </w:r>
    </w:p>
    <w:p w:rsidR="007B3A21" w:rsidRPr="00410CFD" w:rsidRDefault="007B3A21">
      <w:pPr>
        <w:rPr>
          <w:rFonts w:ascii="Arial" w:hAnsi="Arial" w:cs="Arial"/>
          <w:b/>
          <w:sz w:val="18"/>
          <w:szCs w:val="18"/>
        </w:rPr>
      </w:pPr>
      <w:r w:rsidRPr="00410CFD">
        <w:rPr>
          <w:rFonts w:ascii="Arial" w:hAnsi="Arial" w:cs="Arial"/>
          <w:b/>
          <w:sz w:val="18"/>
          <w:szCs w:val="18"/>
        </w:rPr>
        <w:br w:type="page"/>
      </w:r>
    </w:p>
    <w:p w:rsidR="00A036E3" w:rsidRPr="002E2D9B" w:rsidRDefault="00A036E3" w:rsidP="00FD478D">
      <w:pPr>
        <w:jc w:val="center"/>
        <w:rPr>
          <w:rFonts w:ascii="Arial" w:hAnsi="Arial" w:cs="Arial"/>
          <w:b/>
        </w:rPr>
      </w:pPr>
      <w:r w:rsidRPr="002E2D9B">
        <w:rPr>
          <w:rFonts w:ascii="Arial" w:hAnsi="Arial" w:cs="Arial"/>
          <w:b/>
        </w:rPr>
        <w:t>Μέσος Όρος Δημόσιας Δαπάνης ολοκλ</w:t>
      </w:r>
      <w:r w:rsidR="001F35E4" w:rsidRPr="002E2D9B">
        <w:rPr>
          <w:rFonts w:ascii="Arial" w:hAnsi="Arial" w:cs="Arial"/>
          <w:b/>
        </w:rPr>
        <w:t>ηρώσεων</w:t>
      </w:r>
      <w:r w:rsidRPr="002E2D9B">
        <w:rPr>
          <w:rFonts w:ascii="Arial" w:hAnsi="Arial" w:cs="Arial"/>
          <w:b/>
        </w:rPr>
        <w:t xml:space="preserve"> ανά κλάδο</w:t>
      </w:r>
    </w:p>
    <w:p w:rsidR="00DD5208" w:rsidRPr="00410CFD" w:rsidRDefault="001F35E4" w:rsidP="00DD5208">
      <w:pPr>
        <w:pStyle w:val="a3"/>
        <w:ind w:left="709"/>
        <w:jc w:val="both"/>
        <w:rPr>
          <w:rFonts w:ascii="Arial" w:hAnsi="Arial" w:cs="Arial"/>
          <w:sz w:val="18"/>
          <w:szCs w:val="18"/>
        </w:rPr>
      </w:pPr>
      <w:r w:rsidRPr="00410CFD">
        <w:rPr>
          <w:rFonts w:ascii="Arial" w:hAnsi="Arial" w:cs="Arial"/>
          <w:noProof/>
          <w:sz w:val="18"/>
          <w:szCs w:val="18"/>
          <w:lang w:eastAsia="el-GR"/>
        </w:rPr>
        <w:drawing>
          <wp:inline distT="0" distB="0" distL="0" distR="0">
            <wp:extent cx="4854844" cy="5172636"/>
            <wp:effectExtent l="19050" t="0" r="2906" b="0"/>
            <wp:docPr id="12" name="Εικόνα 3" descr="Z:\DMME\!Common\NEA ΔΜΜΕ\Γ.Θ. Γ' ΤΜΗΜΑ\ΣΤΑΤΙΣΤΙΚΗ ΑΝΑΛΥΣΗ ΠΡΟΓΡΑΜΜΑΤΩΝ\ΕΞΩΣΤΡΕΦΕΙΑ2\διαγράμματα\diagr\Δημόσια Δαπάνη Ολοκλήρωσης, μέσος όρος, χιλ. ευρ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MME\!Common\NEA ΔΜΜΕ\Γ.Θ. Γ' ΤΜΗΜΑ\ΣΤΑΤΙΣΤΙΚΗ ΑΝΑΛΥΣΗ ΠΡΟΓΡΑΜΜΑΤΩΝ\ΕΞΩΣΤΡΕΦΕΙΑ2\διαγράμματα\diagr\Δημόσια Δαπάνη Ολοκλήρωσης, μέσος όρος, χιλ. ευρώ.png"/>
                    <pic:cNvPicPr>
                      <a:picLocks noChangeAspect="1" noChangeArrowheads="1"/>
                    </pic:cNvPicPr>
                  </pic:nvPicPr>
                  <pic:blipFill>
                    <a:blip r:embed="rId13" cstate="print"/>
                    <a:srcRect/>
                    <a:stretch>
                      <a:fillRect/>
                    </a:stretch>
                  </pic:blipFill>
                  <pic:spPr bwMode="auto">
                    <a:xfrm>
                      <a:off x="0" y="0"/>
                      <a:ext cx="4862780" cy="5181092"/>
                    </a:xfrm>
                    <a:prstGeom prst="rect">
                      <a:avLst/>
                    </a:prstGeom>
                    <a:noFill/>
                    <a:ln w="9525">
                      <a:noFill/>
                      <a:miter lim="800000"/>
                      <a:headEnd/>
                      <a:tailEnd/>
                    </a:ln>
                  </pic:spPr>
                </pic:pic>
              </a:graphicData>
            </a:graphic>
          </wp:inline>
        </w:drawing>
      </w:r>
    </w:p>
    <w:p w:rsidR="007B3A21" w:rsidRPr="00410CFD" w:rsidRDefault="007B3A21" w:rsidP="007B3A21">
      <w:pPr>
        <w:pStyle w:val="a3"/>
        <w:ind w:left="1080"/>
        <w:jc w:val="both"/>
        <w:rPr>
          <w:rFonts w:ascii="Arial" w:hAnsi="Arial" w:cs="Arial"/>
          <w:sz w:val="18"/>
          <w:szCs w:val="18"/>
        </w:rPr>
      </w:pPr>
    </w:p>
    <w:p w:rsidR="00CB3F42" w:rsidRDefault="00577605" w:rsidP="00CB3F42">
      <w:pPr>
        <w:ind w:firstLine="426"/>
        <w:jc w:val="both"/>
        <w:rPr>
          <w:rFonts w:ascii="Arial" w:hAnsi="Arial" w:cs="Arial"/>
        </w:rPr>
      </w:pPr>
      <w:r w:rsidRPr="00CB3F42">
        <w:rPr>
          <w:rFonts w:ascii="Arial" w:hAnsi="Arial" w:cs="Arial"/>
        </w:rPr>
        <w:t xml:space="preserve">Η καταβληθείσα δημόσια δαπάνη ολοκλήρωσης στη μεταποίηση (12.626.069,31 ευρώ) ανήλθε σε ποσοστό 41,63% του συνολικού επιλέξιμου Π/Υ για τη μεταποίηση (30.324.115,88 ευρώ), ενώ για το εμπόριο το αντίστοιχο ποσοστό ανέρχεται σε 35,34% (καταβληθείσα δημόσια δαπάνη ολοκλήρωσης 2.170.424,20 ευρώ επί συνολικού εγκεκριμένου Π/Υ για το εμπόριο 6.140.662,19 ευρώ). </w:t>
      </w:r>
    </w:p>
    <w:p w:rsidR="00CB3F42" w:rsidRDefault="00577605" w:rsidP="00CB3F42">
      <w:pPr>
        <w:ind w:firstLine="426"/>
        <w:jc w:val="both"/>
        <w:rPr>
          <w:rFonts w:ascii="Arial" w:hAnsi="Arial" w:cs="Arial"/>
        </w:rPr>
      </w:pPr>
      <w:r w:rsidRPr="00CB3F42">
        <w:rPr>
          <w:rFonts w:ascii="Arial" w:hAnsi="Arial" w:cs="Arial"/>
        </w:rPr>
        <w:t xml:space="preserve">Επιπλέον, η καταβληθείσα δημόσια δαπάνη ολοκλήρωσης στις ΤΠΕ (1.358.804,60 ευρώ) ανήλθε σε ποσοστό 42,89% του συνολικού επιλέξιμου Π/Υ για τις ΤΠΕ (3.167.940,89 ευρώ), ενώ για τις επαγγελματικές/επιστημονικές δραστηριότητες το αντίστοιχο ποσοστό ανέρχεται σε </w:t>
      </w:r>
      <w:r w:rsidR="001D53ED" w:rsidRPr="00CB3F42">
        <w:rPr>
          <w:rFonts w:ascii="Arial" w:hAnsi="Arial" w:cs="Arial"/>
        </w:rPr>
        <w:t>40,9</w:t>
      </w:r>
      <w:r w:rsidRPr="00CB3F42">
        <w:rPr>
          <w:rFonts w:ascii="Arial" w:hAnsi="Arial" w:cs="Arial"/>
        </w:rPr>
        <w:t xml:space="preserve">% (καταβληθείσα δημόσια δαπάνη ολοκλήρωσης </w:t>
      </w:r>
      <w:r w:rsidR="001D53ED" w:rsidRPr="00CB3F42">
        <w:rPr>
          <w:rFonts w:ascii="Arial" w:hAnsi="Arial" w:cs="Arial"/>
        </w:rPr>
        <w:t xml:space="preserve">590.828,98 </w:t>
      </w:r>
      <w:r w:rsidRPr="00CB3F42">
        <w:rPr>
          <w:rFonts w:ascii="Arial" w:hAnsi="Arial" w:cs="Arial"/>
        </w:rPr>
        <w:t xml:space="preserve">ευρώ επί συνολικού εγκεκριμένου Π/Υ για το εμπόριο </w:t>
      </w:r>
      <w:r w:rsidR="001D53ED" w:rsidRPr="00CB3F42">
        <w:rPr>
          <w:rFonts w:ascii="Arial" w:hAnsi="Arial" w:cs="Arial"/>
        </w:rPr>
        <w:t xml:space="preserve">1.444.497,00 </w:t>
      </w:r>
      <w:r w:rsidRPr="00CB3F42">
        <w:rPr>
          <w:rFonts w:ascii="Arial" w:hAnsi="Arial" w:cs="Arial"/>
        </w:rPr>
        <w:t>ευρώ).</w:t>
      </w:r>
      <w:r w:rsidR="001D53ED" w:rsidRPr="00CB3F42">
        <w:rPr>
          <w:rFonts w:ascii="Arial" w:hAnsi="Arial" w:cs="Arial"/>
        </w:rPr>
        <w:t xml:space="preserve"> </w:t>
      </w:r>
    </w:p>
    <w:p w:rsidR="00577605" w:rsidRDefault="001D53ED" w:rsidP="00CB3F42">
      <w:pPr>
        <w:ind w:firstLine="426"/>
        <w:jc w:val="both"/>
        <w:rPr>
          <w:rFonts w:ascii="Arial" w:hAnsi="Arial" w:cs="Arial"/>
        </w:rPr>
      </w:pPr>
      <w:r w:rsidRPr="00CB3F42">
        <w:rPr>
          <w:rFonts w:ascii="Arial" w:hAnsi="Arial" w:cs="Arial"/>
        </w:rPr>
        <w:t>Επίσης, η καταβληθείσα δημόσια δαπάνη ολοκλήρωσης στις κατασκευές (374.340,86 ευρώ) ανήλθε σε ποσοστό 41,94% του συνολικού επιλέξιμου Π/Υ για τις κατασκευές (892.433,51 ευρώ), ενώ για την υγεία το αντίστοιχο ποσοστό ανέρχεται σε 37,85% (καταβληθείσα δημόσια δαπάνη ολοκλήρωσης 196.294,19 ευρώ επί συνολικού εγκεκριμένου Π/Υ για το εμπόριο 518.643,14 ευρώ). Τέλος, για την κατηγορία «άλλο» η καταβληθείσα δημόσια δαπάνη ολοκλήρωσης (799.667,27 ευρώ) ανήλθε σε ποσοστό 42,59% του συνολικού επιλέξιμου Π/Υ για τις κατασκευές (1.877.352,82 ευρώ).</w:t>
      </w:r>
    </w:p>
    <w:p w:rsidR="001D53ED" w:rsidRPr="00226402" w:rsidRDefault="001D53ED" w:rsidP="001D53ED">
      <w:pPr>
        <w:ind w:firstLine="720"/>
        <w:jc w:val="center"/>
        <w:rPr>
          <w:rFonts w:ascii="Arial" w:hAnsi="Arial" w:cs="Arial"/>
          <w:b/>
        </w:rPr>
      </w:pPr>
      <w:r w:rsidRPr="00226402">
        <w:rPr>
          <w:rFonts w:ascii="Arial" w:hAnsi="Arial" w:cs="Arial"/>
          <w:b/>
        </w:rPr>
        <w:t>Δημόσια Δαπάνη ολοκλήρωσης ως ποσοστό του συνολικού εγκεκριμένου Π/Υ ανά κλάδο</w:t>
      </w:r>
    </w:p>
    <w:p w:rsidR="001D53ED" w:rsidRPr="00226402" w:rsidRDefault="001D53ED" w:rsidP="001D53ED">
      <w:pPr>
        <w:pStyle w:val="a3"/>
        <w:ind w:left="1080"/>
        <w:jc w:val="both"/>
        <w:rPr>
          <w:rFonts w:ascii="Arial" w:hAnsi="Arial" w:cs="Arial"/>
        </w:rPr>
      </w:pPr>
      <w:r w:rsidRPr="00226402">
        <w:rPr>
          <w:rFonts w:ascii="Arial" w:hAnsi="Arial" w:cs="Arial"/>
          <w:noProof/>
          <w:lang w:eastAsia="el-GR"/>
        </w:rPr>
        <w:drawing>
          <wp:inline distT="0" distB="0" distL="0" distR="0">
            <wp:extent cx="5180479" cy="5988424"/>
            <wp:effectExtent l="19050" t="0" r="1121" b="0"/>
            <wp:docPr id="13" name="Εικόνα 10" descr="Z:\DMME\!Common\NEA ΔΜΜΕ\Γ.Θ. Γ' ΤΜΗΜΑ\ΣΤΑΤΙΣΤΙΚΗ ΑΝΑΛΥΣΗ ΠΡΟΓΡΑΜΜΑΤΩΝ\ΕΞΩΣΤΡΕΦΕΙΑ2\διαγράμματα\diagrams\diagrams\Ποσοστό Δημόσιας Δαπάνης ανά κλάδ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MME\!Common\NEA ΔΜΜΕ\Γ.Θ. Γ' ΤΜΗΜΑ\ΣΤΑΤΙΣΤΙΚΗ ΑΝΑΛΥΣΗ ΠΡΟΓΡΑΜΜΑΤΩΝ\ΕΞΩΣΤΡΕΦΕΙΑ2\διαγράμματα\diagrams\diagrams\Ποσοστό Δημόσιας Δαπάνης ανά κλάδο.png"/>
                    <pic:cNvPicPr>
                      <a:picLocks noChangeAspect="1" noChangeArrowheads="1"/>
                    </pic:cNvPicPr>
                  </pic:nvPicPr>
                  <pic:blipFill>
                    <a:blip r:embed="rId14" cstate="print"/>
                    <a:srcRect/>
                    <a:stretch>
                      <a:fillRect/>
                    </a:stretch>
                  </pic:blipFill>
                  <pic:spPr bwMode="auto">
                    <a:xfrm>
                      <a:off x="0" y="0"/>
                      <a:ext cx="5178727" cy="5986399"/>
                    </a:xfrm>
                    <a:prstGeom prst="rect">
                      <a:avLst/>
                    </a:prstGeom>
                    <a:noFill/>
                    <a:ln w="9525">
                      <a:noFill/>
                      <a:miter lim="800000"/>
                      <a:headEnd/>
                      <a:tailEnd/>
                    </a:ln>
                  </pic:spPr>
                </pic:pic>
              </a:graphicData>
            </a:graphic>
          </wp:inline>
        </w:drawing>
      </w:r>
    </w:p>
    <w:p w:rsidR="002E2D9B" w:rsidRDefault="002E2D9B" w:rsidP="008E353E">
      <w:pPr>
        <w:jc w:val="both"/>
        <w:rPr>
          <w:rFonts w:ascii="Arial" w:hAnsi="Arial" w:cs="Arial"/>
        </w:rPr>
      </w:pPr>
    </w:p>
    <w:p w:rsidR="00850021" w:rsidRDefault="004A1DE1" w:rsidP="004A1DE1">
      <w:pPr>
        <w:pStyle w:val="2"/>
        <w:ind w:firstLine="426"/>
        <w:rPr>
          <w:rFonts w:ascii="Arial" w:hAnsi="Arial" w:cs="Arial"/>
          <w:color w:val="auto"/>
          <w:sz w:val="22"/>
          <w:szCs w:val="22"/>
        </w:rPr>
      </w:pPr>
      <w:bookmarkStart w:id="25" w:name="_Toc498003147"/>
      <w:bookmarkStart w:id="26" w:name="_Toc498075044"/>
      <w:bookmarkStart w:id="27" w:name="_Toc498076227"/>
      <w:bookmarkStart w:id="28" w:name="_Toc498076441"/>
      <w:bookmarkStart w:id="29" w:name="_Toc498076509"/>
      <w:r>
        <w:rPr>
          <w:rFonts w:ascii="Arial" w:hAnsi="Arial" w:cs="Arial"/>
          <w:color w:val="auto"/>
          <w:sz w:val="22"/>
          <w:szCs w:val="22"/>
        </w:rPr>
        <w:t xml:space="preserve">2.3 </w:t>
      </w:r>
      <w:r w:rsidR="00850021" w:rsidRPr="00850021">
        <w:rPr>
          <w:rFonts w:ascii="Arial" w:hAnsi="Arial" w:cs="Arial"/>
          <w:color w:val="auto"/>
          <w:sz w:val="22"/>
          <w:szCs w:val="22"/>
        </w:rPr>
        <w:t>Συσχέτιση μεγέθους με κλάδο</w:t>
      </w:r>
      <w:bookmarkEnd w:id="25"/>
      <w:bookmarkEnd w:id="26"/>
      <w:bookmarkEnd w:id="27"/>
      <w:bookmarkEnd w:id="28"/>
      <w:bookmarkEnd w:id="29"/>
    </w:p>
    <w:p w:rsidR="00850021" w:rsidRPr="00850021" w:rsidRDefault="00850021" w:rsidP="00850021"/>
    <w:p w:rsidR="00DA4533" w:rsidRPr="00226402" w:rsidRDefault="00DA4533" w:rsidP="002E2D9B">
      <w:pPr>
        <w:ind w:firstLine="426"/>
        <w:jc w:val="both"/>
        <w:rPr>
          <w:rFonts w:ascii="Arial" w:hAnsi="Arial" w:cs="Arial"/>
          <w:b/>
        </w:rPr>
      </w:pPr>
      <w:r w:rsidRPr="00226402">
        <w:rPr>
          <w:rFonts w:ascii="Arial" w:hAnsi="Arial" w:cs="Arial"/>
        </w:rPr>
        <w:t xml:space="preserve">Επίσης, κατά την ολοκλήρωση των επενδυτικών έργων ισχύουν τα ακόλουθα αναφορικά με τη </w:t>
      </w:r>
      <w:r w:rsidRPr="003801A0">
        <w:rPr>
          <w:rFonts w:ascii="Arial" w:hAnsi="Arial" w:cs="Arial"/>
        </w:rPr>
        <w:t>συσχέτιση της κλαδικής διάστασης του προγράμματος με το μέγεθος των επιχειρήσεων:</w:t>
      </w:r>
    </w:p>
    <w:p w:rsidR="009B1918" w:rsidRDefault="009B1918" w:rsidP="008E353E">
      <w:pPr>
        <w:jc w:val="both"/>
        <w:rPr>
          <w:rFonts w:ascii="Arial" w:hAnsi="Arial" w:cs="Arial"/>
          <w:b/>
          <w:sz w:val="18"/>
          <w:szCs w:val="18"/>
        </w:rPr>
      </w:pPr>
    </w:p>
    <w:p w:rsidR="003801A0" w:rsidRPr="00410CFD" w:rsidRDefault="003801A0" w:rsidP="008E353E">
      <w:pPr>
        <w:jc w:val="both"/>
        <w:rPr>
          <w:rFonts w:ascii="Arial" w:hAnsi="Arial" w:cs="Arial"/>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
        <w:gridCol w:w="942"/>
        <w:gridCol w:w="543"/>
        <w:gridCol w:w="852"/>
        <w:gridCol w:w="681"/>
        <w:gridCol w:w="852"/>
        <w:gridCol w:w="767"/>
        <w:gridCol w:w="667"/>
        <w:gridCol w:w="852"/>
        <w:gridCol w:w="768"/>
        <w:gridCol w:w="567"/>
        <w:gridCol w:w="682"/>
        <w:gridCol w:w="852"/>
      </w:tblGrid>
      <w:tr w:rsidR="0052734A" w:rsidRPr="00410CFD" w:rsidTr="005606DE">
        <w:trPr>
          <w:cantSplit/>
          <w:trHeight w:val="557"/>
        </w:trPr>
        <w:tc>
          <w:tcPr>
            <w:tcW w:w="288" w:type="pct"/>
            <w:vMerge w:val="restart"/>
            <w:shd w:val="clear" w:color="auto" w:fill="FFFFFF" w:themeFill="background1"/>
            <w:textDirection w:val="btLr"/>
            <w:vAlign w:val="bottom"/>
            <w:hideMark/>
          </w:tcPr>
          <w:p w:rsidR="0052734A" w:rsidRPr="00410CFD" w:rsidRDefault="0052734A" w:rsidP="00E222B5">
            <w:pPr>
              <w:spacing w:before="40" w:after="40" w:line="240" w:lineRule="auto"/>
              <w:ind w:left="113" w:right="113"/>
              <w:rPr>
                <w:rFonts w:ascii="Arial" w:hAnsi="Arial" w:cs="Arial"/>
                <w:sz w:val="18"/>
                <w:szCs w:val="18"/>
              </w:rPr>
            </w:pPr>
            <w:r w:rsidRPr="00410CFD">
              <w:rPr>
                <w:rFonts w:ascii="Arial" w:eastAsia="Times New Roman" w:hAnsi="Arial" w:cs="Arial"/>
                <w:b/>
                <w:bCs/>
                <w:color w:val="000000"/>
                <w:sz w:val="18"/>
                <w:szCs w:val="18"/>
                <w:lang w:eastAsia="el-GR"/>
              </w:rPr>
              <w:t>Κλάδος</w:t>
            </w:r>
          </w:p>
        </w:tc>
        <w:tc>
          <w:tcPr>
            <w:tcW w:w="493" w:type="pct"/>
            <w:vMerge w:val="restart"/>
            <w:shd w:val="clear" w:color="auto" w:fill="FFFFFF" w:themeFill="background1"/>
            <w:vAlign w:val="center"/>
          </w:tcPr>
          <w:p w:rsidR="0052734A" w:rsidRPr="00410CFD" w:rsidRDefault="0052734A" w:rsidP="00E222B5">
            <w:pPr>
              <w:spacing w:before="40" w:after="40" w:line="240" w:lineRule="auto"/>
              <w:jc w:val="center"/>
              <w:rPr>
                <w:rFonts w:ascii="Arial" w:hAnsi="Arial" w:cs="Arial"/>
                <w:sz w:val="18"/>
                <w:szCs w:val="18"/>
              </w:rPr>
            </w:pPr>
            <w:r w:rsidRPr="00410CFD">
              <w:rPr>
                <w:rFonts w:ascii="Arial" w:eastAsia="Times New Roman" w:hAnsi="Arial" w:cs="Arial"/>
                <w:b/>
                <w:bCs/>
                <w:color w:val="000000"/>
                <w:sz w:val="18"/>
                <w:szCs w:val="18"/>
                <w:lang w:eastAsia="el-GR"/>
              </w:rPr>
              <w:t>Μέγεθος</w:t>
            </w:r>
          </w:p>
        </w:tc>
        <w:tc>
          <w:tcPr>
            <w:tcW w:w="734" w:type="pct"/>
            <w:gridSpan w:val="2"/>
            <w:shd w:val="clear" w:color="auto" w:fill="BFBFBF" w:themeFill="background1" w:themeFillShade="BF"/>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Έργα</w:t>
            </w:r>
          </w:p>
        </w:tc>
        <w:tc>
          <w:tcPr>
            <w:tcW w:w="1205" w:type="pct"/>
            <w:gridSpan w:val="3"/>
            <w:shd w:val="clear" w:color="auto" w:fill="BFBFBF" w:themeFill="background1" w:themeFillShade="BF"/>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Συνολικός Προϋπολογισμός</w:t>
            </w:r>
          </w:p>
        </w:tc>
        <w:tc>
          <w:tcPr>
            <w:tcW w:w="1186" w:type="pct"/>
            <w:gridSpan w:val="3"/>
            <w:shd w:val="clear" w:color="auto" w:fill="BFBFBF" w:themeFill="background1" w:themeFillShade="BF"/>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Επιχορηγούμενος Προϋπολογισμός</w:t>
            </w:r>
          </w:p>
        </w:tc>
        <w:tc>
          <w:tcPr>
            <w:tcW w:w="1093" w:type="pct"/>
            <w:gridSpan w:val="3"/>
            <w:shd w:val="clear" w:color="auto" w:fill="BFBFBF" w:themeFill="background1" w:themeFillShade="BF"/>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Δημόσια Δαπάνη Ολοκλήρωσης</w:t>
            </w:r>
          </w:p>
        </w:tc>
      </w:tr>
      <w:tr w:rsidR="0052734A" w:rsidRPr="00410CFD" w:rsidTr="005606DE">
        <w:trPr>
          <w:cantSplit/>
          <w:trHeight w:val="567"/>
        </w:trPr>
        <w:tc>
          <w:tcPr>
            <w:tcW w:w="288" w:type="pct"/>
            <w:vMerge/>
            <w:shd w:val="clear" w:color="auto" w:fill="FFFFFF" w:themeFill="background1"/>
            <w:textDirection w:val="btLr"/>
            <w:vAlign w:val="center"/>
            <w:hideMark/>
          </w:tcPr>
          <w:p w:rsidR="0052734A" w:rsidRPr="00410CFD" w:rsidRDefault="0052734A" w:rsidP="00E222B5">
            <w:pPr>
              <w:spacing w:before="40" w:after="40" w:line="240" w:lineRule="auto"/>
              <w:ind w:left="113" w:right="113"/>
              <w:rPr>
                <w:rFonts w:ascii="Arial" w:eastAsia="Times New Roman" w:hAnsi="Arial" w:cs="Arial"/>
                <w:b/>
                <w:bCs/>
                <w:color w:val="000000"/>
                <w:sz w:val="18"/>
                <w:szCs w:val="18"/>
                <w:lang w:eastAsia="el-GR"/>
              </w:rPr>
            </w:pPr>
          </w:p>
        </w:tc>
        <w:tc>
          <w:tcPr>
            <w:tcW w:w="493" w:type="pct"/>
            <w:vMerge/>
            <w:shd w:val="clear" w:color="auto" w:fill="FFFFFF" w:themeFill="background1"/>
            <w:vAlign w:val="bottom"/>
            <w:hideMark/>
          </w:tcPr>
          <w:p w:rsidR="0052734A" w:rsidRPr="00410CFD" w:rsidRDefault="0052734A" w:rsidP="00E222B5">
            <w:pPr>
              <w:spacing w:before="40" w:after="40" w:line="240" w:lineRule="auto"/>
              <w:jc w:val="center"/>
              <w:rPr>
                <w:rFonts w:ascii="Arial" w:eastAsia="Times New Roman" w:hAnsi="Arial" w:cs="Arial"/>
                <w:b/>
                <w:bCs/>
                <w:color w:val="000000"/>
                <w:sz w:val="18"/>
                <w:szCs w:val="18"/>
                <w:lang w:eastAsia="el-GR"/>
              </w:rPr>
            </w:pPr>
          </w:p>
        </w:tc>
        <w:tc>
          <w:tcPr>
            <w:tcW w:w="289"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Ν</w:t>
            </w:r>
          </w:p>
        </w:tc>
        <w:tc>
          <w:tcPr>
            <w:tcW w:w="445"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 κλάδου</w:t>
            </w:r>
          </w:p>
        </w:tc>
        <w:tc>
          <w:tcPr>
            <w:tcW w:w="359"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lang w:val="en-US"/>
              </w:rPr>
            </w:pPr>
            <w:r w:rsidRPr="00410CFD">
              <w:rPr>
                <w:rFonts w:ascii="Arial" w:hAnsi="Arial" w:cs="Arial"/>
                <w:b/>
                <w:sz w:val="18"/>
                <w:szCs w:val="18"/>
              </w:rPr>
              <w:t>εκ</w:t>
            </w:r>
            <w:r w:rsidRPr="00410CFD">
              <w:rPr>
                <w:rFonts w:ascii="Arial" w:hAnsi="Arial" w:cs="Arial"/>
                <w:b/>
                <w:sz w:val="18"/>
                <w:szCs w:val="18"/>
                <w:lang w:val="en-US"/>
              </w:rPr>
              <w:t>.</w:t>
            </w:r>
            <w:r w:rsidRPr="00410CFD">
              <w:rPr>
                <w:rFonts w:ascii="Arial" w:hAnsi="Arial" w:cs="Arial"/>
                <w:b/>
                <w:sz w:val="18"/>
                <w:szCs w:val="18"/>
              </w:rPr>
              <w:t xml:space="preserve"> €</w:t>
            </w:r>
          </w:p>
        </w:tc>
        <w:tc>
          <w:tcPr>
            <w:tcW w:w="445"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 κλάδου</w:t>
            </w:r>
          </w:p>
        </w:tc>
        <w:tc>
          <w:tcPr>
            <w:tcW w:w="401" w:type="pct"/>
            <w:shd w:val="clear" w:color="auto" w:fill="auto"/>
            <w:vAlign w:val="bottom"/>
            <w:hideMark/>
          </w:tcPr>
          <w:p w:rsidR="0052734A" w:rsidRPr="00410CFD" w:rsidRDefault="0052734A" w:rsidP="00E222B5">
            <w:pPr>
              <w:spacing w:before="40" w:after="40" w:line="240" w:lineRule="auto"/>
              <w:jc w:val="center"/>
              <w:rPr>
                <w:rFonts w:ascii="Arial" w:hAnsi="Arial" w:cs="Arial"/>
                <w:sz w:val="18"/>
                <w:szCs w:val="18"/>
              </w:rPr>
            </w:pPr>
            <w:proofErr w:type="spellStart"/>
            <w:r w:rsidRPr="00410CFD">
              <w:rPr>
                <w:rFonts w:ascii="Arial" w:hAnsi="Arial" w:cs="Arial"/>
                <w:b/>
                <w:sz w:val="18"/>
                <w:szCs w:val="18"/>
              </w:rPr>
              <w:t>μ.ο</w:t>
            </w:r>
            <w:proofErr w:type="spellEnd"/>
            <w:r w:rsidRPr="00410CFD">
              <w:rPr>
                <w:rFonts w:ascii="Arial" w:hAnsi="Arial" w:cs="Arial"/>
                <w:b/>
                <w:sz w:val="18"/>
                <w:szCs w:val="18"/>
              </w:rPr>
              <w:t>. χιλ. €</w:t>
            </w:r>
          </w:p>
        </w:tc>
        <w:tc>
          <w:tcPr>
            <w:tcW w:w="348"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εκ</w:t>
            </w:r>
            <w:r w:rsidRPr="00410CFD">
              <w:rPr>
                <w:rFonts w:ascii="Arial" w:hAnsi="Arial" w:cs="Arial"/>
                <w:b/>
                <w:sz w:val="18"/>
                <w:szCs w:val="18"/>
                <w:lang w:val="en-US"/>
              </w:rPr>
              <w:t>.</w:t>
            </w:r>
            <w:r w:rsidRPr="00410CFD">
              <w:rPr>
                <w:rFonts w:ascii="Arial" w:hAnsi="Arial" w:cs="Arial"/>
                <w:b/>
                <w:sz w:val="18"/>
                <w:szCs w:val="18"/>
              </w:rPr>
              <w:t xml:space="preserve"> €</w:t>
            </w:r>
          </w:p>
        </w:tc>
        <w:tc>
          <w:tcPr>
            <w:tcW w:w="431"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 κλάδου</w:t>
            </w:r>
          </w:p>
        </w:tc>
        <w:tc>
          <w:tcPr>
            <w:tcW w:w="407"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lang w:val="en-US"/>
              </w:rPr>
            </w:pPr>
            <w:proofErr w:type="spellStart"/>
            <w:r w:rsidRPr="00410CFD">
              <w:rPr>
                <w:rFonts w:ascii="Arial" w:hAnsi="Arial" w:cs="Arial"/>
                <w:b/>
                <w:sz w:val="18"/>
                <w:szCs w:val="18"/>
              </w:rPr>
              <w:t>μ.ο</w:t>
            </w:r>
            <w:proofErr w:type="spellEnd"/>
            <w:r w:rsidRPr="00410CFD">
              <w:rPr>
                <w:rFonts w:ascii="Arial" w:hAnsi="Arial" w:cs="Arial"/>
                <w:b/>
                <w:sz w:val="18"/>
                <w:szCs w:val="18"/>
              </w:rPr>
              <w:t>. χιλ. €</w:t>
            </w:r>
          </w:p>
        </w:tc>
        <w:tc>
          <w:tcPr>
            <w:tcW w:w="299"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εκ</w:t>
            </w:r>
            <w:r w:rsidRPr="00410CFD">
              <w:rPr>
                <w:rFonts w:ascii="Arial" w:hAnsi="Arial" w:cs="Arial"/>
                <w:b/>
                <w:sz w:val="18"/>
                <w:szCs w:val="18"/>
                <w:lang w:val="en-US"/>
              </w:rPr>
              <w:t>.</w:t>
            </w:r>
            <w:r w:rsidRPr="00410CFD">
              <w:rPr>
                <w:rFonts w:ascii="Arial" w:hAnsi="Arial" w:cs="Arial"/>
                <w:b/>
                <w:sz w:val="18"/>
                <w:szCs w:val="18"/>
              </w:rPr>
              <w:t xml:space="preserve"> €</w:t>
            </w:r>
          </w:p>
        </w:tc>
        <w:tc>
          <w:tcPr>
            <w:tcW w:w="360" w:type="pct"/>
            <w:shd w:val="clear" w:color="auto" w:fill="auto"/>
            <w:vAlign w:val="bottom"/>
            <w:hideMark/>
          </w:tcPr>
          <w:p w:rsidR="0052734A" w:rsidRPr="00410CFD" w:rsidRDefault="0052734A" w:rsidP="00E222B5">
            <w:pPr>
              <w:spacing w:before="40" w:after="40" w:line="240" w:lineRule="auto"/>
              <w:jc w:val="center"/>
              <w:rPr>
                <w:rFonts w:ascii="Arial" w:hAnsi="Arial" w:cs="Arial"/>
                <w:sz w:val="18"/>
                <w:szCs w:val="18"/>
              </w:rPr>
            </w:pPr>
            <w:proofErr w:type="spellStart"/>
            <w:r w:rsidRPr="00410CFD">
              <w:rPr>
                <w:rFonts w:ascii="Arial" w:hAnsi="Arial" w:cs="Arial"/>
                <w:b/>
                <w:sz w:val="18"/>
                <w:szCs w:val="18"/>
              </w:rPr>
              <w:t>μ.ο</w:t>
            </w:r>
            <w:proofErr w:type="spellEnd"/>
            <w:r w:rsidRPr="00410CFD">
              <w:rPr>
                <w:rFonts w:ascii="Arial" w:hAnsi="Arial" w:cs="Arial"/>
                <w:b/>
                <w:sz w:val="18"/>
                <w:szCs w:val="18"/>
              </w:rPr>
              <w:t>. χιλ. €</w:t>
            </w:r>
          </w:p>
        </w:tc>
        <w:tc>
          <w:tcPr>
            <w:tcW w:w="434" w:type="pct"/>
            <w:shd w:val="clear" w:color="auto" w:fill="auto"/>
            <w:vAlign w:val="bottom"/>
            <w:hideMark/>
          </w:tcPr>
          <w:p w:rsidR="0052734A" w:rsidRPr="00410CFD" w:rsidRDefault="0052734A" w:rsidP="00E222B5">
            <w:pPr>
              <w:spacing w:before="40" w:after="40" w:line="240" w:lineRule="auto"/>
              <w:jc w:val="center"/>
              <w:rPr>
                <w:rFonts w:ascii="Arial" w:hAnsi="Arial" w:cs="Arial"/>
                <w:b/>
                <w:sz w:val="18"/>
                <w:szCs w:val="18"/>
              </w:rPr>
            </w:pPr>
            <w:r w:rsidRPr="00410CFD">
              <w:rPr>
                <w:rFonts w:ascii="Arial" w:hAnsi="Arial" w:cs="Arial"/>
                <w:b/>
                <w:sz w:val="18"/>
                <w:szCs w:val="18"/>
              </w:rPr>
              <w:t>% κλάδου</w:t>
            </w:r>
          </w:p>
        </w:tc>
      </w:tr>
      <w:tr w:rsidR="004B6075" w:rsidRPr="00410CFD" w:rsidTr="005606DE">
        <w:trPr>
          <w:trHeight w:val="300"/>
        </w:trPr>
        <w:tc>
          <w:tcPr>
            <w:tcW w:w="288" w:type="pct"/>
            <w:vMerge w:val="restart"/>
            <w:shd w:val="clear" w:color="auto" w:fill="BFBFBF" w:themeFill="background1" w:themeFillShade="BF"/>
            <w:noWrap/>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Άλλο</w:t>
            </w:r>
          </w:p>
        </w:tc>
        <w:tc>
          <w:tcPr>
            <w:tcW w:w="493" w:type="pct"/>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Μεγάλες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5,56</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0,14</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7,30</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137,07</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0,12</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6,38</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115,86</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0,03</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34,76</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4,35</w:t>
            </w:r>
          </w:p>
        </w:tc>
      </w:tr>
      <w:tr w:rsidR="004B6075" w:rsidRPr="00410CFD" w:rsidTr="005606DE">
        <w:trPr>
          <w:trHeight w:val="300"/>
        </w:trPr>
        <w:tc>
          <w:tcPr>
            <w:tcW w:w="288" w:type="pct"/>
            <w:vMerge/>
            <w:shd w:val="clear" w:color="auto" w:fill="BFBFBF" w:themeFill="background1" w:themeFillShade="BF"/>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auto"/>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Μεσαίες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16,67</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0,33</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17,46</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109,26</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0,32</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17,83</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107,89</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0,15</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48,55</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18,21</w:t>
            </w:r>
          </w:p>
        </w:tc>
      </w:tr>
      <w:tr w:rsidR="004B6075" w:rsidRPr="00410CFD" w:rsidTr="005606DE">
        <w:trPr>
          <w:trHeight w:val="300"/>
        </w:trPr>
        <w:tc>
          <w:tcPr>
            <w:tcW w:w="288" w:type="pct"/>
            <w:vMerge/>
            <w:shd w:val="clear" w:color="auto" w:fill="BFBFBF" w:themeFill="background1" w:themeFillShade="BF"/>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BFBFBF" w:themeFill="background1" w:themeFillShade="BF"/>
            <w:vAlign w:val="center"/>
            <w:hideMark/>
          </w:tcPr>
          <w:p w:rsidR="009B1918" w:rsidRPr="00E222B5" w:rsidRDefault="009B1918" w:rsidP="00E222B5">
            <w:pPr>
              <w:spacing w:before="40" w:after="40" w:line="240" w:lineRule="auto"/>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Μικρές και Πολύ Μικρές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77,78</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1,41</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75,24</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100,89</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1,38</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75,79</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98,27</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0,62</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44,23</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77,44</w:t>
            </w:r>
          </w:p>
        </w:tc>
      </w:tr>
      <w:tr w:rsidR="004B6075" w:rsidRPr="00410CFD" w:rsidTr="005606DE">
        <w:trPr>
          <w:trHeight w:val="300"/>
        </w:trPr>
        <w:tc>
          <w:tcPr>
            <w:tcW w:w="288" w:type="pct"/>
            <w:vMerge w:val="restart"/>
            <w:shd w:val="clear" w:color="auto" w:fill="auto"/>
            <w:noWrap/>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Εμπόριο</w:t>
            </w:r>
          </w:p>
        </w:tc>
        <w:tc>
          <w:tcPr>
            <w:tcW w:w="493" w:type="pct"/>
            <w:shd w:val="clear" w:color="auto" w:fill="auto"/>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Μεσαίες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15,07</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0,92</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14,93</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83,33</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0,87</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14,67</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78,89</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0,30</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27,53</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13,95</w:t>
            </w:r>
          </w:p>
        </w:tc>
      </w:tr>
      <w:tr w:rsidR="004B6075" w:rsidRPr="00410CFD" w:rsidTr="005606DE">
        <w:trPr>
          <w:trHeight w:val="692"/>
        </w:trPr>
        <w:tc>
          <w:tcPr>
            <w:tcW w:w="288" w:type="pct"/>
            <w:vMerge/>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BFBFBF" w:themeFill="background1" w:themeFillShade="BF"/>
            <w:vAlign w:val="center"/>
            <w:hideMark/>
          </w:tcPr>
          <w:p w:rsidR="009B1918" w:rsidRPr="00E222B5" w:rsidRDefault="009B1918" w:rsidP="00E222B5">
            <w:pPr>
              <w:spacing w:before="40" w:after="40" w:line="240" w:lineRule="auto"/>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Μικρές και Πολύ Μικρές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62</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84,93</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5,22</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85,07</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84,26</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5,05</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85,33</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81,42</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1,87</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30,12</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86,05</w:t>
            </w:r>
          </w:p>
        </w:tc>
      </w:tr>
      <w:tr w:rsidR="004B6075" w:rsidRPr="00410CFD" w:rsidTr="005606DE">
        <w:trPr>
          <w:trHeight w:val="300"/>
        </w:trPr>
        <w:tc>
          <w:tcPr>
            <w:tcW w:w="288" w:type="pct"/>
            <w:vMerge w:val="restart"/>
            <w:shd w:val="clear" w:color="auto" w:fill="BFBFBF" w:themeFill="background1" w:themeFillShade="BF"/>
            <w:noWrap/>
            <w:textDirection w:val="btLr"/>
            <w:vAlign w:val="center"/>
            <w:hideMark/>
          </w:tcPr>
          <w:p w:rsidR="009B1918" w:rsidRPr="00410CFD" w:rsidRDefault="000808AB" w:rsidP="00E222B5">
            <w:pPr>
              <w:spacing w:before="40" w:after="40" w:line="240" w:lineRule="auto"/>
              <w:ind w:left="113" w:right="113"/>
              <w:jc w:val="center"/>
              <w:rPr>
                <w:rFonts w:ascii="Arial" w:eastAsia="Times New Roman" w:hAnsi="Arial" w:cs="Arial"/>
                <w:b/>
                <w:bCs/>
                <w:color w:val="000000"/>
                <w:sz w:val="18"/>
                <w:szCs w:val="18"/>
                <w:lang w:eastAsia="el-GR"/>
              </w:rPr>
            </w:pPr>
            <w:proofErr w:type="spellStart"/>
            <w:r w:rsidRPr="00410CFD">
              <w:rPr>
                <w:rFonts w:ascii="Arial" w:eastAsia="Times New Roman" w:hAnsi="Arial" w:cs="Arial"/>
                <w:b/>
                <w:bCs/>
                <w:color w:val="000000"/>
                <w:sz w:val="18"/>
                <w:szCs w:val="18"/>
                <w:lang w:eastAsia="el-GR"/>
              </w:rPr>
              <w:t>Επαγ</w:t>
            </w:r>
            <w:proofErr w:type="spellEnd"/>
            <w:r w:rsidRPr="00410CFD">
              <w:rPr>
                <w:rFonts w:ascii="Arial" w:eastAsia="Times New Roman" w:hAnsi="Arial" w:cs="Arial"/>
                <w:b/>
                <w:bCs/>
                <w:color w:val="000000"/>
                <w:sz w:val="18"/>
                <w:szCs w:val="18"/>
                <w:lang w:eastAsia="el-GR"/>
              </w:rPr>
              <w:t>/</w:t>
            </w:r>
            <w:proofErr w:type="spellStart"/>
            <w:r w:rsidRPr="00410CFD">
              <w:rPr>
                <w:rFonts w:ascii="Arial" w:eastAsia="Times New Roman" w:hAnsi="Arial" w:cs="Arial"/>
                <w:b/>
                <w:bCs/>
                <w:color w:val="000000"/>
                <w:sz w:val="18"/>
                <w:szCs w:val="18"/>
                <w:lang w:eastAsia="el-GR"/>
              </w:rPr>
              <w:t>Επιστ</w:t>
            </w:r>
            <w:proofErr w:type="spellEnd"/>
            <w:r w:rsidR="009B1918" w:rsidRPr="00410CFD">
              <w:rPr>
                <w:rFonts w:ascii="Arial" w:eastAsia="Times New Roman" w:hAnsi="Arial" w:cs="Arial"/>
                <w:b/>
                <w:bCs/>
                <w:color w:val="000000"/>
                <w:sz w:val="18"/>
                <w:szCs w:val="18"/>
                <w:lang w:eastAsia="el-GR"/>
              </w:rPr>
              <w:t xml:space="preserve"> </w:t>
            </w:r>
            <w:proofErr w:type="spellStart"/>
            <w:r w:rsidR="009B1918" w:rsidRPr="00410CFD">
              <w:rPr>
                <w:rFonts w:ascii="Arial" w:eastAsia="Times New Roman" w:hAnsi="Arial" w:cs="Arial"/>
                <w:b/>
                <w:bCs/>
                <w:color w:val="000000"/>
                <w:sz w:val="18"/>
                <w:szCs w:val="18"/>
                <w:lang w:eastAsia="el-GR"/>
              </w:rPr>
              <w:t>Δραστηρ</w:t>
            </w:r>
            <w:proofErr w:type="spellEnd"/>
            <w:r w:rsidRPr="00410CFD">
              <w:rPr>
                <w:rFonts w:ascii="Arial" w:eastAsia="Times New Roman" w:hAnsi="Arial" w:cs="Arial"/>
                <w:b/>
                <w:bCs/>
                <w:color w:val="000000"/>
                <w:sz w:val="18"/>
                <w:szCs w:val="18"/>
                <w:lang w:eastAsia="el-GR"/>
              </w:rPr>
              <w:t>.</w:t>
            </w:r>
          </w:p>
        </w:tc>
        <w:tc>
          <w:tcPr>
            <w:tcW w:w="493" w:type="pct"/>
            <w:shd w:val="clear" w:color="auto" w:fill="auto"/>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Μεγάλες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6,90</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0,12</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8,10</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58,49</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0,12</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8,81</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58,21</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0,03</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17,46</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5,91</w:t>
            </w:r>
          </w:p>
        </w:tc>
      </w:tr>
      <w:tr w:rsidR="004B6075" w:rsidRPr="00410CFD" w:rsidTr="005606DE">
        <w:trPr>
          <w:trHeight w:val="300"/>
        </w:trPr>
        <w:tc>
          <w:tcPr>
            <w:tcW w:w="288" w:type="pct"/>
            <w:vMerge/>
            <w:shd w:val="clear" w:color="auto" w:fill="BFBFBF" w:themeFill="background1" w:themeFillShade="BF"/>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Μεσαίες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10,34</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0,17</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11,54</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55,56</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0,16</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12,40</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54,63</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0,08</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25,90</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13,15</w:t>
            </w:r>
          </w:p>
        </w:tc>
      </w:tr>
      <w:tr w:rsidR="004B6075" w:rsidRPr="00410CFD" w:rsidTr="005606DE">
        <w:trPr>
          <w:trHeight w:val="636"/>
        </w:trPr>
        <w:tc>
          <w:tcPr>
            <w:tcW w:w="288" w:type="pct"/>
            <w:vMerge/>
            <w:shd w:val="clear" w:color="auto" w:fill="BFBFBF" w:themeFill="background1" w:themeFillShade="BF"/>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auto"/>
            <w:vAlign w:val="center"/>
            <w:hideMark/>
          </w:tcPr>
          <w:p w:rsidR="009B1918" w:rsidRPr="00E222B5" w:rsidRDefault="009B1918" w:rsidP="00E222B5">
            <w:pPr>
              <w:spacing w:before="40" w:after="40" w:line="240" w:lineRule="auto"/>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Μικρές και Πολύ Μικρές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24</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82,76</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1,16</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80,36</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48,37</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1,04</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78,79</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43,38</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0,48</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19,93</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80,94</w:t>
            </w:r>
          </w:p>
        </w:tc>
      </w:tr>
      <w:tr w:rsidR="004B6075" w:rsidRPr="00410CFD" w:rsidTr="005606DE">
        <w:trPr>
          <w:trHeight w:val="300"/>
        </w:trPr>
        <w:tc>
          <w:tcPr>
            <w:tcW w:w="288" w:type="pct"/>
            <w:vMerge w:val="restart"/>
            <w:shd w:val="clear" w:color="auto" w:fill="auto"/>
            <w:noWrap/>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Κατασκευές</w:t>
            </w:r>
          </w:p>
        </w:tc>
        <w:tc>
          <w:tcPr>
            <w:tcW w:w="493" w:type="pct"/>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Μεγάλες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10,00</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0,09</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9,68</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86,38</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0,08</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9,08</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80,05</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0,02</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24,02</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6,42</w:t>
            </w:r>
          </w:p>
        </w:tc>
      </w:tr>
      <w:tr w:rsidR="004B6075" w:rsidRPr="00410CFD" w:rsidTr="005606DE">
        <w:trPr>
          <w:trHeight w:val="300"/>
        </w:trPr>
        <w:tc>
          <w:tcPr>
            <w:tcW w:w="288" w:type="pct"/>
            <w:vMerge/>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auto"/>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Μεσαίες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10,00</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0,15</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16,95</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151,24</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0,15</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17,15</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151,24</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0,07</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68,06</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18,18</w:t>
            </w:r>
          </w:p>
        </w:tc>
      </w:tr>
      <w:tr w:rsidR="004B6075" w:rsidRPr="00410CFD" w:rsidTr="005606DE">
        <w:trPr>
          <w:trHeight w:val="722"/>
        </w:trPr>
        <w:tc>
          <w:tcPr>
            <w:tcW w:w="288" w:type="pct"/>
            <w:vMerge/>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BFBFBF" w:themeFill="background1" w:themeFillShade="BF"/>
            <w:vAlign w:val="center"/>
            <w:hideMark/>
          </w:tcPr>
          <w:p w:rsidR="009B1918" w:rsidRPr="00E222B5" w:rsidRDefault="009B1918" w:rsidP="00E222B5">
            <w:pPr>
              <w:spacing w:before="40" w:after="40" w:line="240" w:lineRule="auto"/>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Μικρές και Πολύ Μικρές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80,00</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0,65</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73,37</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81,85</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0,65</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73,77</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81,29</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0,28</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35,28</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75,40</w:t>
            </w:r>
          </w:p>
        </w:tc>
      </w:tr>
      <w:tr w:rsidR="004B6075" w:rsidRPr="00410CFD" w:rsidTr="005606DE">
        <w:trPr>
          <w:trHeight w:val="300"/>
        </w:trPr>
        <w:tc>
          <w:tcPr>
            <w:tcW w:w="288" w:type="pct"/>
            <w:vMerge w:val="restart"/>
            <w:shd w:val="clear" w:color="auto" w:fill="BFBFBF" w:themeFill="background1" w:themeFillShade="BF"/>
            <w:noWrap/>
            <w:textDirection w:val="btLr"/>
            <w:vAlign w:val="center"/>
            <w:hideMark/>
          </w:tcPr>
          <w:p w:rsidR="009B1918" w:rsidRPr="00E222B5" w:rsidRDefault="009B1918" w:rsidP="00E222B5">
            <w:pPr>
              <w:spacing w:before="40" w:after="40" w:line="240" w:lineRule="auto"/>
              <w:ind w:left="113" w:right="113"/>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Μεταποίηση</w:t>
            </w:r>
          </w:p>
        </w:tc>
        <w:tc>
          <w:tcPr>
            <w:tcW w:w="493" w:type="pct"/>
            <w:shd w:val="clear" w:color="auto" w:fill="auto"/>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Μεγάλες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28</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9,36</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4,07</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13,41</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145,28</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3,89</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13,29</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138,78</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1,16</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41,54</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9,21</w:t>
            </w:r>
          </w:p>
        </w:tc>
      </w:tr>
      <w:tr w:rsidR="004B6075" w:rsidRPr="00410CFD" w:rsidTr="005606DE">
        <w:trPr>
          <w:trHeight w:val="300"/>
        </w:trPr>
        <w:tc>
          <w:tcPr>
            <w:tcW w:w="288" w:type="pct"/>
            <w:vMerge/>
            <w:shd w:val="clear" w:color="auto" w:fill="BFBFBF" w:themeFill="background1" w:themeFillShade="BF"/>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Μεσαίες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73</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24,41</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9,01</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29,71</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123,41</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8,65</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29,59</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118,47</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3,89</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53,35</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30,85</w:t>
            </w:r>
          </w:p>
        </w:tc>
      </w:tr>
      <w:tr w:rsidR="004B6075" w:rsidRPr="00410CFD" w:rsidTr="005606DE">
        <w:trPr>
          <w:trHeight w:val="640"/>
        </w:trPr>
        <w:tc>
          <w:tcPr>
            <w:tcW w:w="288" w:type="pct"/>
            <w:vMerge/>
            <w:shd w:val="clear" w:color="auto" w:fill="BFBFBF" w:themeFill="background1" w:themeFillShade="BF"/>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auto"/>
            <w:vAlign w:val="center"/>
            <w:hideMark/>
          </w:tcPr>
          <w:p w:rsidR="009B1918" w:rsidRPr="00E222B5" w:rsidRDefault="009B1918" w:rsidP="00E222B5">
            <w:pPr>
              <w:spacing w:before="40" w:after="40" w:line="240" w:lineRule="auto"/>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Μικρές και Πολύ Μικρές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198</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66,22</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17,25</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56,88</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87,11</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16,69</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57,12</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84,32</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7,57</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38,22</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59,94</w:t>
            </w:r>
          </w:p>
        </w:tc>
      </w:tr>
      <w:tr w:rsidR="004B6075" w:rsidRPr="00410CFD" w:rsidTr="005606DE">
        <w:trPr>
          <w:trHeight w:val="300"/>
        </w:trPr>
        <w:tc>
          <w:tcPr>
            <w:tcW w:w="288" w:type="pct"/>
            <w:vMerge w:val="restart"/>
            <w:shd w:val="clear" w:color="auto" w:fill="auto"/>
            <w:noWrap/>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ΤΠΕ</w:t>
            </w:r>
          </w:p>
        </w:tc>
        <w:tc>
          <w:tcPr>
            <w:tcW w:w="493" w:type="pct"/>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Μεγάλες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1,89</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0,05</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1,72</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54,42</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0,05</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1,64</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49,88</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0,01</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14,96</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1,10</w:t>
            </w:r>
          </w:p>
        </w:tc>
      </w:tr>
      <w:tr w:rsidR="004B6075" w:rsidRPr="00410CFD" w:rsidTr="005606DE">
        <w:trPr>
          <w:trHeight w:val="300"/>
        </w:trPr>
        <w:tc>
          <w:tcPr>
            <w:tcW w:w="288" w:type="pct"/>
            <w:vMerge/>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auto"/>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Μεσαίες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9,43</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0,45</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14,27</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90,43</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0,44</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14,38</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87,31</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0,20</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39,29</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14,46</w:t>
            </w:r>
          </w:p>
        </w:tc>
      </w:tr>
      <w:tr w:rsidR="004B6075" w:rsidRPr="00410CFD" w:rsidTr="005606DE">
        <w:trPr>
          <w:trHeight w:val="300"/>
        </w:trPr>
        <w:tc>
          <w:tcPr>
            <w:tcW w:w="288" w:type="pct"/>
            <w:vMerge/>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p>
        </w:tc>
        <w:tc>
          <w:tcPr>
            <w:tcW w:w="493" w:type="pct"/>
            <w:shd w:val="clear" w:color="auto" w:fill="BFBFBF" w:themeFill="background1" w:themeFillShade="BF"/>
            <w:vAlign w:val="center"/>
            <w:hideMark/>
          </w:tcPr>
          <w:p w:rsidR="009B1918" w:rsidRPr="00E222B5" w:rsidRDefault="009B1918" w:rsidP="00E222B5">
            <w:pPr>
              <w:spacing w:before="40" w:after="40" w:line="240" w:lineRule="auto"/>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Μικρές και Πολύ Μικρές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47</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88,68</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2,66</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84,01</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56,62</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2,55</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83,98</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54,25</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1,15</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24,41</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84,44</w:t>
            </w:r>
          </w:p>
        </w:tc>
      </w:tr>
      <w:tr w:rsidR="004B6075" w:rsidRPr="00410CFD" w:rsidTr="005606DE">
        <w:trPr>
          <w:trHeight w:val="300"/>
        </w:trPr>
        <w:tc>
          <w:tcPr>
            <w:tcW w:w="288" w:type="pct"/>
            <w:vMerge w:val="restart"/>
            <w:shd w:val="clear" w:color="auto" w:fill="BFBFBF" w:themeFill="background1" w:themeFillShade="BF"/>
            <w:noWrap/>
            <w:textDirection w:val="btLr"/>
            <w:vAlign w:val="center"/>
            <w:hideMark/>
          </w:tcPr>
          <w:p w:rsidR="009B1918" w:rsidRPr="00410CFD" w:rsidRDefault="009B1918" w:rsidP="00E222B5">
            <w:pPr>
              <w:spacing w:before="40" w:after="40" w:line="240" w:lineRule="auto"/>
              <w:ind w:left="113" w:right="113"/>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Υγεία</w:t>
            </w:r>
          </w:p>
        </w:tc>
        <w:tc>
          <w:tcPr>
            <w:tcW w:w="493" w:type="pct"/>
            <w:shd w:val="clear" w:color="auto" w:fill="auto"/>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Μεγάλες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20,00</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0,19</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36,24</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187,93</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0,19</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37,13</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187,93</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0,06</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56,38</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28,72</w:t>
            </w:r>
          </w:p>
        </w:tc>
      </w:tr>
      <w:tr w:rsidR="004B6075" w:rsidRPr="00410CFD" w:rsidTr="005606DE">
        <w:trPr>
          <w:trHeight w:val="300"/>
        </w:trPr>
        <w:tc>
          <w:tcPr>
            <w:tcW w:w="288" w:type="pct"/>
            <w:vMerge/>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p>
        </w:tc>
        <w:tc>
          <w:tcPr>
            <w:tcW w:w="493" w:type="pct"/>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r w:rsidRPr="00410CFD">
              <w:rPr>
                <w:rFonts w:ascii="Arial" w:eastAsia="Times New Roman" w:hAnsi="Arial" w:cs="Arial"/>
                <w:b/>
                <w:bCs/>
                <w:color w:val="000000"/>
                <w:sz w:val="18"/>
                <w:szCs w:val="18"/>
                <w:lang w:eastAsia="el-GR"/>
              </w:rPr>
              <w:t>Μεσαίες</w:t>
            </w:r>
          </w:p>
        </w:tc>
        <w:tc>
          <w:tcPr>
            <w:tcW w:w="28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60,00</w:t>
            </w:r>
          </w:p>
        </w:tc>
        <w:tc>
          <w:tcPr>
            <w:tcW w:w="35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0,28</w:t>
            </w:r>
          </w:p>
        </w:tc>
        <w:tc>
          <w:tcPr>
            <w:tcW w:w="445"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53,48</w:t>
            </w:r>
          </w:p>
        </w:tc>
        <w:tc>
          <w:tcPr>
            <w:tcW w:w="40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92,45</w:t>
            </w:r>
          </w:p>
        </w:tc>
        <w:tc>
          <w:tcPr>
            <w:tcW w:w="348"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0,26</w:t>
            </w:r>
          </w:p>
        </w:tc>
        <w:tc>
          <w:tcPr>
            <w:tcW w:w="431"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52,34</w:t>
            </w:r>
          </w:p>
        </w:tc>
        <w:tc>
          <w:tcPr>
            <w:tcW w:w="407"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88,31</w:t>
            </w:r>
          </w:p>
        </w:tc>
        <w:tc>
          <w:tcPr>
            <w:tcW w:w="299"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0,12</w:t>
            </w:r>
          </w:p>
        </w:tc>
        <w:tc>
          <w:tcPr>
            <w:tcW w:w="360"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39,44</w:t>
            </w:r>
          </w:p>
        </w:tc>
        <w:tc>
          <w:tcPr>
            <w:tcW w:w="434" w:type="pct"/>
            <w:shd w:val="clear" w:color="auto" w:fill="BFBFBF" w:themeFill="background1" w:themeFillShade="BF"/>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60,27</w:t>
            </w:r>
          </w:p>
        </w:tc>
      </w:tr>
      <w:tr w:rsidR="004B6075" w:rsidRPr="00410CFD" w:rsidTr="005606DE">
        <w:trPr>
          <w:trHeight w:val="300"/>
        </w:trPr>
        <w:tc>
          <w:tcPr>
            <w:tcW w:w="288" w:type="pct"/>
            <w:vMerge/>
            <w:shd w:val="clear" w:color="auto" w:fill="BFBFBF" w:themeFill="background1" w:themeFillShade="BF"/>
            <w:vAlign w:val="center"/>
            <w:hideMark/>
          </w:tcPr>
          <w:p w:rsidR="009B1918" w:rsidRPr="00410CFD" w:rsidRDefault="009B1918" w:rsidP="00E222B5">
            <w:pPr>
              <w:spacing w:before="40" w:after="40" w:line="240" w:lineRule="auto"/>
              <w:jc w:val="center"/>
              <w:rPr>
                <w:rFonts w:ascii="Arial" w:eastAsia="Times New Roman" w:hAnsi="Arial" w:cs="Arial"/>
                <w:b/>
                <w:bCs/>
                <w:color w:val="000000"/>
                <w:sz w:val="18"/>
                <w:szCs w:val="18"/>
                <w:lang w:eastAsia="el-GR"/>
              </w:rPr>
            </w:pPr>
          </w:p>
        </w:tc>
        <w:tc>
          <w:tcPr>
            <w:tcW w:w="493" w:type="pct"/>
            <w:shd w:val="clear" w:color="auto" w:fill="auto"/>
            <w:vAlign w:val="center"/>
            <w:hideMark/>
          </w:tcPr>
          <w:p w:rsidR="009B1918" w:rsidRPr="00E222B5" w:rsidRDefault="009B1918" w:rsidP="00E222B5">
            <w:pPr>
              <w:spacing w:before="40" w:after="40" w:line="240" w:lineRule="auto"/>
              <w:jc w:val="center"/>
              <w:rPr>
                <w:rFonts w:ascii="Arial" w:eastAsia="Times New Roman" w:hAnsi="Arial" w:cs="Arial"/>
                <w:b/>
                <w:bCs/>
                <w:color w:val="000000"/>
                <w:sz w:val="17"/>
                <w:szCs w:val="17"/>
                <w:lang w:eastAsia="el-GR"/>
              </w:rPr>
            </w:pPr>
            <w:r w:rsidRPr="00E222B5">
              <w:rPr>
                <w:rFonts w:ascii="Arial" w:eastAsia="Times New Roman" w:hAnsi="Arial" w:cs="Arial"/>
                <w:b/>
                <w:bCs/>
                <w:color w:val="000000"/>
                <w:sz w:val="17"/>
                <w:szCs w:val="17"/>
                <w:lang w:eastAsia="el-GR"/>
              </w:rPr>
              <w:t>Μικρές και Πολύ Μικρές</w:t>
            </w:r>
          </w:p>
        </w:tc>
        <w:tc>
          <w:tcPr>
            <w:tcW w:w="28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20,00</w:t>
            </w:r>
          </w:p>
        </w:tc>
        <w:tc>
          <w:tcPr>
            <w:tcW w:w="35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0,05</w:t>
            </w:r>
          </w:p>
        </w:tc>
        <w:tc>
          <w:tcPr>
            <w:tcW w:w="445"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10,29</w:t>
            </w:r>
          </w:p>
        </w:tc>
        <w:tc>
          <w:tcPr>
            <w:tcW w:w="40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53,35</w:t>
            </w:r>
          </w:p>
        </w:tc>
        <w:tc>
          <w:tcPr>
            <w:tcW w:w="348"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0,05</w:t>
            </w:r>
          </w:p>
        </w:tc>
        <w:tc>
          <w:tcPr>
            <w:tcW w:w="431"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10,54</w:t>
            </w:r>
          </w:p>
        </w:tc>
        <w:tc>
          <w:tcPr>
            <w:tcW w:w="407"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53,35</w:t>
            </w:r>
          </w:p>
        </w:tc>
        <w:tc>
          <w:tcPr>
            <w:tcW w:w="299"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0,02</w:t>
            </w:r>
          </w:p>
        </w:tc>
        <w:tc>
          <w:tcPr>
            <w:tcW w:w="360"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21,61</w:t>
            </w:r>
          </w:p>
        </w:tc>
        <w:tc>
          <w:tcPr>
            <w:tcW w:w="434" w:type="pct"/>
            <w:shd w:val="clear" w:color="auto" w:fill="auto"/>
            <w:noWrap/>
            <w:vAlign w:val="center"/>
            <w:hideMark/>
          </w:tcPr>
          <w:p w:rsidR="009B1918" w:rsidRPr="00410CFD" w:rsidRDefault="009B1918" w:rsidP="00E222B5">
            <w:pPr>
              <w:spacing w:before="40" w:after="40" w:line="240" w:lineRule="auto"/>
              <w:jc w:val="center"/>
              <w:rPr>
                <w:rFonts w:ascii="Arial" w:eastAsia="Times New Roman" w:hAnsi="Arial" w:cs="Arial"/>
                <w:color w:val="000000"/>
                <w:sz w:val="18"/>
                <w:szCs w:val="18"/>
                <w:lang w:eastAsia="el-GR"/>
              </w:rPr>
            </w:pPr>
            <w:r w:rsidRPr="00410CFD">
              <w:rPr>
                <w:rFonts w:ascii="Arial" w:eastAsia="Times New Roman" w:hAnsi="Arial" w:cs="Arial"/>
                <w:color w:val="000000"/>
                <w:sz w:val="18"/>
                <w:szCs w:val="18"/>
                <w:lang w:eastAsia="el-GR"/>
              </w:rPr>
              <w:t>11,01</w:t>
            </w:r>
          </w:p>
        </w:tc>
      </w:tr>
    </w:tbl>
    <w:p w:rsidR="009B1918" w:rsidRPr="00410CFD" w:rsidRDefault="009B1918" w:rsidP="004B6075">
      <w:pPr>
        <w:spacing w:after="0"/>
        <w:jc w:val="both"/>
        <w:rPr>
          <w:rFonts w:ascii="Arial" w:hAnsi="Arial" w:cs="Arial"/>
          <w:b/>
          <w:sz w:val="18"/>
          <w:szCs w:val="18"/>
        </w:rPr>
      </w:pPr>
    </w:p>
    <w:p w:rsidR="002E2D9B" w:rsidRDefault="002E2D9B" w:rsidP="008E353E">
      <w:pPr>
        <w:jc w:val="both"/>
        <w:rPr>
          <w:rFonts w:ascii="Arial" w:hAnsi="Arial" w:cs="Arial"/>
        </w:rPr>
      </w:pPr>
    </w:p>
    <w:p w:rsidR="00850021" w:rsidRDefault="00D92C4A" w:rsidP="002E2D9B">
      <w:pPr>
        <w:ind w:firstLine="360"/>
        <w:jc w:val="both"/>
        <w:rPr>
          <w:rFonts w:ascii="Arial" w:hAnsi="Arial" w:cs="Arial"/>
        </w:rPr>
      </w:pPr>
      <w:r w:rsidRPr="00226402">
        <w:rPr>
          <w:rFonts w:ascii="Arial" w:hAnsi="Arial" w:cs="Arial"/>
        </w:rPr>
        <w:t xml:space="preserve">Από τα στοιχεία του παραπάνω πίνακα προκύπτει ότι οι επωφελούμενες πολύ μικρές και μικρές επιχειρήσεις του μεταποιητικού τομέα </w:t>
      </w:r>
      <w:r w:rsidR="00264B06" w:rsidRPr="00226402">
        <w:rPr>
          <w:rFonts w:ascii="Arial" w:hAnsi="Arial" w:cs="Arial"/>
        </w:rPr>
        <w:t xml:space="preserve">υλοποίησαν επενδυτικά σχέδια με Π/Υ μεγαλύτερους των πολύ μικρών, μικρών επιχειρήσεων αλλά και των μεγάλων επιχειρήσεων των άλλων κλάδων αντικατοπτρίζοντας τι μεγαλύτερες ανάγκες των επιχειρήσεων του μεταποιητικού τομέα, αλλά και την πρόθεσή τους να υλοποιήσουν ολοκληρωμένα επενδυτικά σχέδια που θα τις βοηθήσουν να αναπτύξουν τις δραστηριότητές τους σε νέες αγορές. </w:t>
      </w:r>
    </w:p>
    <w:p w:rsidR="002E2D9B" w:rsidRPr="004042BA" w:rsidRDefault="004042BA" w:rsidP="002E2D9B">
      <w:pPr>
        <w:ind w:firstLine="360"/>
        <w:jc w:val="both"/>
        <w:rPr>
          <w:rFonts w:ascii="Arial" w:hAnsi="Arial" w:cs="Arial"/>
        </w:rPr>
      </w:pPr>
      <w:r w:rsidRPr="00E60CBC">
        <w:rPr>
          <w:rFonts w:ascii="Arial" w:hAnsi="Arial" w:cs="Arial"/>
        </w:rPr>
        <w:t xml:space="preserve">Αξίζει να σημειωθεί ότι οι πολύ μικρές και μικρές επιχειρήσεις του τομέα της μεταποίησης που ολοκλήρωσαν τα επενδυτικά τους έργα καταλαμβάνουν το </w:t>
      </w:r>
      <w:r w:rsidR="00BB513A" w:rsidRPr="00E60CBC">
        <w:rPr>
          <w:rFonts w:ascii="Arial" w:hAnsi="Arial" w:cs="Arial"/>
        </w:rPr>
        <w:t>55,93</w:t>
      </w:r>
      <w:r w:rsidRPr="00E60CBC">
        <w:rPr>
          <w:rFonts w:ascii="Arial" w:hAnsi="Arial" w:cs="Arial"/>
        </w:rPr>
        <w:t>% των ολοκληρωμένων έργων της κατηγορίας</w:t>
      </w:r>
      <w:r w:rsidR="00BB513A" w:rsidRPr="00E60CBC">
        <w:rPr>
          <w:rFonts w:ascii="Arial" w:hAnsi="Arial" w:cs="Arial"/>
        </w:rPr>
        <w:t xml:space="preserve"> (198 από 354 έργα)</w:t>
      </w:r>
      <w:r w:rsidRPr="00E60CBC">
        <w:rPr>
          <w:rFonts w:ascii="Arial" w:hAnsi="Arial" w:cs="Arial"/>
        </w:rPr>
        <w:t xml:space="preserve"> σε σχέση με τους υπόλοιπους κλάδους (εμπόριο, ΤΠΕ κλπ) με μέσο όρο Π/Υ επένδυσης 87,1 χιλ. ευρώ και μέσο όρο. δημόσιας δαπάνης 38,2 χιλ. ευρώ, ενώ οι μεσαίες μεταποιητικές κατέχουν το 73,74% της κατηγορίας τους </w:t>
      </w:r>
      <w:r w:rsidR="00BB513A" w:rsidRPr="00E60CBC">
        <w:rPr>
          <w:rFonts w:ascii="Arial" w:hAnsi="Arial" w:cs="Arial"/>
        </w:rPr>
        <w:t xml:space="preserve">(73 από 99 έργα) </w:t>
      </w:r>
      <w:r w:rsidRPr="00E60CBC">
        <w:rPr>
          <w:rFonts w:ascii="Arial" w:hAnsi="Arial" w:cs="Arial"/>
        </w:rPr>
        <w:t xml:space="preserve">με μέσο όρο Π/Υ 123,1 χιλ. ευρώ και μέσο όρο δημόσιας δαπάνης 53,3 χιλ. ευρώ. Τέλος, οι μεγάλες επιχειρήσεις του τομέα της μεταποίησης που ολοκλήρωσαν τα επενδυτικά τους έργα αποτελούν το 82,35% της κατηγορίας τους </w:t>
      </w:r>
      <w:r w:rsidR="00BB513A" w:rsidRPr="00E60CBC">
        <w:rPr>
          <w:rFonts w:ascii="Arial" w:hAnsi="Arial" w:cs="Arial"/>
        </w:rPr>
        <w:t>(24 από 38 έργα) με</w:t>
      </w:r>
      <w:r w:rsidRPr="00E60CBC">
        <w:rPr>
          <w:rFonts w:ascii="Arial" w:hAnsi="Arial" w:cs="Arial"/>
        </w:rPr>
        <w:t xml:space="preserve"> μέσο όρο Π/Υ 145 χιλ. ευρώ και μέσο όρο δημόσιας δαπάνης 41,5 χιλ. ευρώ.</w:t>
      </w:r>
    </w:p>
    <w:p w:rsidR="009B1918" w:rsidRPr="00226402" w:rsidRDefault="00264B06" w:rsidP="002E2D9B">
      <w:pPr>
        <w:ind w:firstLine="360"/>
        <w:jc w:val="both"/>
        <w:rPr>
          <w:rFonts w:ascii="Arial" w:hAnsi="Arial" w:cs="Arial"/>
        </w:rPr>
      </w:pPr>
      <w:r w:rsidRPr="00226402">
        <w:rPr>
          <w:rFonts w:ascii="Arial" w:hAnsi="Arial" w:cs="Arial"/>
        </w:rPr>
        <w:t>Επιπρόσθετα:</w:t>
      </w:r>
    </w:p>
    <w:p w:rsidR="00336A4E" w:rsidRPr="00226402" w:rsidRDefault="00336A4E" w:rsidP="008E353E">
      <w:pPr>
        <w:pStyle w:val="a3"/>
        <w:numPr>
          <w:ilvl w:val="0"/>
          <w:numId w:val="5"/>
        </w:numPr>
        <w:jc w:val="both"/>
        <w:rPr>
          <w:rFonts w:ascii="Arial" w:hAnsi="Arial" w:cs="Arial"/>
        </w:rPr>
      </w:pPr>
      <w:r w:rsidRPr="00226402">
        <w:rPr>
          <w:rFonts w:ascii="Arial" w:hAnsi="Arial" w:cs="Arial"/>
        </w:rPr>
        <w:t xml:space="preserve">Από τις 299 επιχειρήσεις της μεταποίησης που ολοκλήρωσαν τα επενδυτικά τους έργα, το 66,22% </w:t>
      </w:r>
      <w:r w:rsidR="00667CED" w:rsidRPr="00226402">
        <w:rPr>
          <w:rFonts w:ascii="Arial" w:hAnsi="Arial" w:cs="Arial"/>
        </w:rPr>
        <w:t xml:space="preserve">(198) </w:t>
      </w:r>
      <w:r w:rsidRPr="00226402">
        <w:rPr>
          <w:rFonts w:ascii="Arial" w:hAnsi="Arial" w:cs="Arial"/>
        </w:rPr>
        <w:t xml:space="preserve">ανήκουν στην κατηγορία των πολύ μικρών και μικρών επιχειρήσεων,  το 24,41% </w:t>
      </w:r>
      <w:r w:rsidR="00667CED" w:rsidRPr="00226402">
        <w:rPr>
          <w:rFonts w:ascii="Arial" w:hAnsi="Arial" w:cs="Arial"/>
        </w:rPr>
        <w:t xml:space="preserve">(73) </w:t>
      </w:r>
      <w:r w:rsidRPr="00226402">
        <w:rPr>
          <w:rFonts w:ascii="Arial" w:hAnsi="Arial" w:cs="Arial"/>
        </w:rPr>
        <w:t xml:space="preserve">στις μεσαίες και το 9,36% </w:t>
      </w:r>
      <w:r w:rsidR="00667CED" w:rsidRPr="00226402">
        <w:rPr>
          <w:rFonts w:ascii="Arial" w:hAnsi="Arial" w:cs="Arial"/>
        </w:rPr>
        <w:t xml:space="preserve">(28) </w:t>
      </w:r>
      <w:r w:rsidRPr="00226402">
        <w:rPr>
          <w:rFonts w:ascii="Arial" w:hAnsi="Arial" w:cs="Arial"/>
        </w:rPr>
        <w:t>στις μεγάλες επιχειρήσεις.</w:t>
      </w:r>
    </w:p>
    <w:p w:rsidR="00DA4533" w:rsidRPr="00226402" w:rsidRDefault="00336A4E" w:rsidP="008E353E">
      <w:pPr>
        <w:pStyle w:val="a3"/>
        <w:numPr>
          <w:ilvl w:val="0"/>
          <w:numId w:val="5"/>
        </w:numPr>
        <w:jc w:val="both"/>
        <w:rPr>
          <w:rFonts w:ascii="Arial" w:hAnsi="Arial" w:cs="Arial"/>
        </w:rPr>
      </w:pPr>
      <w:r w:rsidRPr="00226402">
        <w:rPr>
          <w:rFonts w:ascii="Arial" w:hAnsi="Arial" w:cs="Arial"/>
        </w:rPr>
        <w:t xml:space="preserve">Από τις </w:t>
      </w:r>
      <w:r w:rsidR="00D6133E" w:rsidRPr="00226402">
        <w:rPr>
          <w:rFonts w:ascii="Arial" w:hAnsi="Arial" w:cs="Arial"/>
        </w:rPr>
        <w:t xml:space="preserve">73 </w:t>
      </w:r>
      <w:r w:rsidR="00592865" w:rsidRPr="00226402">
        <w:rPr>
          <w:rFonts w:ascii="Arial" w:hAnsi="Arial" w:cs="Arial"/>
        </w:rPr>
        <w:t xml:space="preserve">επιχειρήσεις του εμπορίου που ολοκλήρωσαν τα επενδυτικά τους έργα, το 84,93% </w:t>
      </w:r>
      <w:r w:rsidR="00667CED" w:rsidRPr="00226402">
        <w:rPr>
          <w:rFonts w:ascii="Arial" w:hAnsi="Arial" w:cs="Arial"/>
        </w:rPr>
        <w:t xml:space="preserve">(62) </w:t>
      </w:r>
      <w:r w:rsidR="00592865" w:rsidRPr="00226402">
        <w:rPr>
          <w:rFonts w:ascii="Arial" w:hAnsi="Arial" w:cs="Arial"/>
        </w:rPr>
        <w:t xml:space="preserve">ανήκουν στην κατηγορία των πολύ </w:t>
      </w:r>
      <w:r w:rsidR="00667CED" w:rsidRPr="00226402">
        <w:rPr>
          <w:rFonts w:ascii="Arial" w:hAnsi="Arial" w:cs="Arial"/>
        </w:rPr>
        <w:t xml:space="preserve">μικρών και μικρών επιχειρήσεων και </w:t>
      </w:r>
      <w:r w:rsidR="00592865" w:rsidRPr="00226402">
        <w:rPr>
          <w:rFonts w:ascii="Arial" w:hAnsi="Arial" w:cs="Arial"/>
        </w:rPr>
        <w:t xml:space="preserve">το 15,07% </w:t>
      </w:r>
      <w:r w:rsidR="00667CED" w:rsidRPr="00226402">
        <w:rPr>
          <w:rFonts w:ascii="Arial" w:hAnsi="Arial" w:cs="Arial"/>
        </w:rPr>
        <w:t xml:space="preserve">(11) </w:t>
      </w:r>
      <w:r w:rsidR="00592865" w:rsidRPr="00226402">
        <w:rPr>
          <w:rFonts w:ascii="Arial" w:hAnsi="Arial" w:cs="Arial"/>
        </w:rPr>
        <w:t>στις μεσαίες επιχειρήσεις.</w:t>
      </w:r>
    </w:p>
    <w:p w:rsidR="00592865" w:rsidRPr="00226402" w:rsidRDefault="00592865" w:rsidP="008E353E">
      <w:pPr>
        <w:pStyle w:val="a3"/>
        <w:numPr>
          <w:ilvl w:val="0"/>
          <w:numId w:val="5"/>
        </w:numPr>
        <w:jc w:val="both"/>
        <w:rPr>
          <w:rFonts w:ascii="Arial" w:hAnsi="Arial" w:cs="Arial"/>
        </w:rPr>
      </w:pPr>
      <w:r w:rsidRPr="00226402">
        <w:rPr>
          <w:rFonts w:ascii="Arial" w:hAnsi="Arial" w:cs="Arial"/>
        </w:rPr>
        <w:t>Από τις 53 επιχειρήσεις των ΤΠΕ που ολοκλήρωσαν τα επενδυτικά τους έργα, το 88,68%</w:t>
      </w:r>
      <w:r w:rsidR="00667CED" w:rsidRPr="00226402">
        <w:rPr>
          <w:rFonts w:ascii="Arial" w:hAnsi="Arial" w:cs="Arial"/>
        </w:rPr>
        <w:t xml:space="preserve"> (47) </w:t>
      </w:r>
      <w:r w:rsidRPr="00226402">
        <w:rPr>
          <w:rFonts w:ascii="Arial" w:hAnsi="Arial" w:cs="Arial"/>
        </w:rPr>
        <w:t xml:space="preserve">ανήκουν στην κατηγορία των πολύ μικρών και μικρών επιχειρήσεων, το 9,43% </w:t>
      </w:r>
      <w:r w:rsidR="00667CED" w:rsidRPr="00226402">
        <w:rPr>
          <w:rFonts w:ascii="Arial" w:hAnsi="Arial" w:cs="Arial"/>
        </w:rPr>
        <w:t xml:space="preserve">(5) </w:t>
      </w:r>
      <w:r w:rsidRPr="00226402">
        <w:rPr>
          <w:rFonts w:ascii="Arial" w:hAnsi="Arial" w:cs="Arial"/>
        </w:rPr>
        <w:t xml:space="preserve">στις μεσαίες και το 1,89% </w:t>
      </w:r>
      <w:r w:rsidR="00667CED" w:rsidRPr="00226402">
        <w:rPr>
          <w:rFonts w:ascii="Arial" w:hAnsi="Arial" w:cs="Arial"/>
        </w:rPr>
        <w:t xml:space="preserve">(1) </w:t>
      </w:r>
      <w:r w:rsidRPr="00226402">
        <w:rPr>
          <w:rFonts w:ascii="Arial" w:hAnsi="Arial" w:cs="Arial"/>
        </w:rPr>
        <w:t>στις μεγάλες επιχειρήσεις.</w:t>
      </w:r>
    </w:p>
    <w:p w:rsidR="00592865" w:rsidRPr="00226402" w:rsidRDefault="00592865" w:rsidP="008E353E">
      <w:pPr>
        <w:pStyle w:val="a3"/>
        <w:numPr>
          <w:ilvl w:val="0"/>
          <w:numId w:val="5"/>
        </w:numPr>
        <w:jc w:val="both"/>
        <w:rPr>
          <w:rFonts w:ascii="Arial" w:hAnsi="Arial" w:cs="Arial"/>
        </w:rPr>
      </w:pPr>
      <w:r w:rsidRPr="00226402">
        <w:rPr>
          <w:rFonts w:ascii="Arial" w:hAnsi="Arial" w:cs="Arial"/>
        </w:rPr>
        <w:t xml:space="preserve">Από τις 29 επιχειρήσεις που ανήκουν στις επαγγελματικές/επιστημονικές δραστηριότητες και ολοκλήρωσαν τα επενδυτικά τους έργα, το 82,76% </w:t>
      </w:r>
      <w:r w:rsidR="00667CED" w:rsidRPr="00226402">
        <w:rPr>
          <w:rFonts w:ascii="Arial" w:hAnsi="Arial" w:cs="Arial"/>
        </w:rPr>
        <w:t xml:space="preserve">(24) </w:t>
      </w:r>
      <w:r w:rsidRPr="00226402">
        <w:rPr>
          <w:rFonts w:ascii="Arial" w:hAnsi="Arial" w:cs="Arial"/>
        </w:rPr>
        <w:t xml:space="preserve">ανήκουν στην κατηγορία των πολύ μικρών και μικρών επιχειρήσεων, το 10,34% </w:t>
      </w:r>
      <w:r w:rsidR="00667CED" w:rsidRPr="00226402">
        <w:rPr>
          <w:rFonts w:ascii="Arial" w:hAnsi="Arial" w:cs="Arial"/>
        </w:rPr>
        <w:t xml:space="preserve">(3) </w:t>
      </w:r>
      <w:r w:rsidRPr="00226402">
        <w:rPr>
          <w:rFonts w:ascii="Arial" w:hAnsi="Arial" w:cs="Arial"/>
        </w:rPr>
        <w:t xml:space="preserve">στις μεσαίες και το 6,9% </w:t>
      </w:r>
      <w:r w:rsidR="00667CED" w:rsidRPr="00226402">
        <w:rPr>
          <w:rFonts w:ascii="Arial" w:hAnsi="Arial" w:cs="Arial"/>
        </w:rPr>
        <w:t xml:space="preserve">(2) </w:t>
      </w:r>
      <w:r w:rsidRPr="00226402">
        <w:rPr>
          <w:rFonts w:ascii="Arial" w:hAnsi="Arial" w:cs="Arial"/>
        </w:rPr>
        <w:t>στις μεγάλες επιχειρήσεις.</w:t>
      </w:r>
    </w:p>
    <w:p w:rsidR="003E13DE" w:rsidRPr="00226402" w:rsidRDefault="003E13DE" w:rsidP="008E353E">
      <w:pPr>
        <w:pStyle w:val="a3"/>
        <w:numPr>
          <w:ilvl w:val="0"/>
          <w:numId w:val="5"/>
        </w:numPr>
        <w:jc w:val="both"/>
        <w:rPr>
          <w:rFonts w:ascii="Arial" w:hAnsi="Arial" w:cs="Arial"/>
        </w:rPr>
      </w:pPr>
      <w:r w:rsidRPr="00226402">
        <w:rPr>
          <w:rFonts w:ascii="Arial" w:hAnsi="Arial" w:cs="Arial"/>
        </w:rPr>
        <w:t>Από τις 10 επιχειρήσεις που ανήκουν στις κατασκευές και ολοκλήρωσαν τα επενδυτικά τους έργα, το 80% ανήκουν στην κατηγορία των πολύ μικρών και μικρών επιχειρήσεων, το 10% στις μεσαίες και το 10% στις μεγάλες επιχειρήσεις.</w:t>
      </w:r>
    </w:p>
    <w:p w:rsidR="003E13DE" w:rsidRPr="00226402" w:rsidRDefault="003E13DE" w:rsidP="008E353E">
      <w:pPr>
        <w:pStyle w:val="a3"/>
        <w:numPr>
          <w:ilvl w:val="0"/>
          <w:numId w:val="5"/>
        </w:numPr>
        <w:jc w:val="both"/>
        <w:rPr>
          <w:rFonts w:ascii="Arial" w:hAnsi="Arial" w:cs="Arial"/>
        </w:rPr>
      </w:pPr>
      <w:r w:rsidRPr="00226402">
        <w:rPr>
          <w:rFonts w:ascii="Arial" w:hAnsi="Arial" w:cs="Arial"/>
        </w:rPr>
        <w:t>Από τις 5 επιχειρήσεις που ανήκουν στην υγεία και ολοκλήρωσαν τα επενδυτικά τους έργα, το 20% ανήκει στην κατηγορία των πολύ μικρών και μικρών επιχειρήσεων, το 60% στις μεσαίες και το 20% στις μεγάλες επιχειρήσεις.</w:t>
      </w:r>
    </w:p>
    <w:p w:rsidR="00D0330F" w:rsidRPr="00226402" w:rsidRDefault="003E13DE" w:rsidP="00A9641F">
      <w:pPr>
        <w:pStyle w:val="a3"/>
        <w:numPr>
          <w:ilvl w:val="0"/>
          <w:numId w:val="5"/>
        </w:numPr>
        <w:jc w:val="both"/>
        <w:rPr>
          <w:rFonts w:ascii="Arial" w:hAnsi="Arial" w:cs="Arial"/>
        </w:rPr>
      </w:pPr>
      <w:r w:rsidRPr="00226402">
        <w:rPr>
          <w:rFonts w:ascii="Arial" w:hAnsi="Arial" w:cs="Arial"/>
        </w:rPr>
        <w:t xml:space="preserve">Από τις 18 επιχειρήσεις που ανήκουν στην κατηγορία «άλλο» και ολοκλήρωσαν τα επενδυτικά τους έργα, το 77,78% </w:t>
      </w:r>
      <w:r w:rsidR="00667CED" w:rsidRPr="00226402">
        <w:rPr>
          <w:rFonts w:ascii="Arial" w:hAnsi="Arial" w:cs="Arial"/>
        </w:rPr>
        <w:t xml:space="preserve">(14) </w:t>
      </w:r>
      <w:r w:rsidRPr="00226402">
        <w:rPr>
          <w:rFonts w:ascii="Arial" w:hAnsi="Arial" w:cs="Arial"/>
        </w:rPr>
        <w:t xml:space="preserve">ανήκουν στην κατηγορία των πολύ μικρών και μικρών επιχειρήσεων, το 16,67% </w:t>
      </w:r>
      <w:r w:rsidR="00667CED" w:rsidRPr="00226402">
        <w:rPr>
          <w:rFonts w:ascii="Arial" w:hAnsi="Arial" w:cs="Arial"/>
        </w:rPr>
        <w:t xml:space="preserve">(3) </w:t>
      </w:r>
      <w:r w:rsidRPr="00226402">
        <w:rPr>
          <w:rFonts w:ascii="Arial" w:hAnsi="Arial" w:cs="Arial"/>
        </w:rPr>
        <w:t xml:space="preserve">στις μεσαίες και το 5,56% </w:t>
      </w:r>
      <w:r w:rsidR="00667CED" w:rsidRPr="00226402">
        <w:rPr>
          <w:rFonts w:ascii="Arial" w:hAnsi="Arial" w:cs="Arial"/>
        </w:rPr>
        <w:t xml:space="preserve">(1) </w:t>
      </w:r>
      <w:r w:rsidRPr="00226402">
        <w:rPr>
          <w:rFonts w:ascii="Arial" w:hAnsi="Arial" w:cs="Arial"/>
        </w:rPr>
        <w:t>στις μεγάλες επιχειρήσεις.</w:t>
      </w:r>
    </w:p>
    <w:p w:rsidR="002E2D9B" w:rsidRDefault="002E2D9B" w:rsidP="00E2768C">
      <w:pPr>
        <w:jc w:val="both"/>
        <w:rPr>
          <w:rFonts w:ascii="Arial" w:hAnsi="Arial" w:cs="Arial"/>
        </w:rPr>
      </w:pPr>
    </w:p>
    <w:p w:rsidR="00850021" w:rsidRPr="00850021" w:rsidRDefault="004A1DE1" w:rsidP="004A1DE1">
      <w:pPr>
        <w:pStyle w:val="2"/>
        <w:ind w:firstLine="360"/>
        <w:rPr>
          <w:rFonts w:ascii="Arial" w:hAnsi="Arial" w:cs="Arial"/>
          <w:color w:val="auto"/>
          <w:sz w:val="22"/>
          <w:szCs w:val="22"/>
        </w:rPr>
      </w:pPr>
      <w:bookmarkStart w:id="30" w:name="_Toc498003148"/>
      <w:bookmarkStart w:id="31" w:name="_Toc498075045"/>
      <w:bookmarkStart w:id="32" w:name="_Toc498076228"/>
      <w:bookmarkStart w:id="33" w:name="_Toc498076442"/>
      <w:bookmarkStart w:id="34" w:name="_Toc498076510"/>
      <w:r>
        <w:rPr>
          <w:rFonts w:ascii="Arial" w:hAnsi="Arial" w:cs="Arial"/>
          <w:color w:val="auto"/>
          <w:sz w:val="22"/>
          <w:szCs w:val="22"/>
        </w:rPr>
        <w:t xml:space="preserve">2.4 </w:t>
      </w:r>
      <w:r w:rsidR="00850021" w:rsidRPr="00850021">
        <w:rPr>
          <w:rFonts w:ascii="Arial" w:hAnsi="Arial" w:cs="Arial"/>
          <w:color w:val="auto"/>
          <w:sz w:val="22"/>
          <w:szCs w:val="22"/>
        </w:rPr>
        <w:t xml:space="preserve">Ανάλυση ανά περιφέρεια </w:t>
      </w:r>
      <w:r w:rsidR="00850021">
        <w:rPr>
          <w:rFonts w:ascii="Arial" w:hAnsi="Arial" w:cs="Arial"/>
          <w:color w:val="auto"/>
          <w:sz w:val="22"/>
          <w:szCs w:val="22"/>
        </w:rPr>
        <w:t xml:space="preserve">και μέγεθος </w:t>
      </w:r>
      <w:r w:rsidR="00850021" w:rsidRPr="00850021">
        <w:rPr>
          <w:rFonts w:ascii="Arial" w:hAnsi="Arial" w:cs="Arial"/>
          <w:color w:val="auto"/>
          <w:sz w:val="22"/>
          <w:szCs w:val="22"/>
        </w:rPr>
        <w:t>(περιφερειακή διάσταση)</w:t>
      </w:r>
      <w:bookmarkEnd w:id="30"/>
      <w:bookmarkEnd w:id="31"/>
      <w:bookmarkEnd w:id="32"/>
      <w:bookmarkEnd w:id="33"/>
      <w:bookmarkEnd w:id="34"/>
    </w:p>
    <w:p w:rsidR="00850021" w:rsidRDefault="00850021" w:rsidP="002E2D9B">
      <w:pPr>
        <w:ind w:firstLine="360"/>
        <w:jc w:val="both"/>
        <w:rPr>
          <w:rFonts w:ascii="Arial" w:hAnsi="Arial" w:cs="Arial"/>
        </w:rPr>
      </w:pPr>
    </w:p>
    <w:p w:rsidR="00717981" w:rsidRDefault="00CB59D6" w:rsidP="002E2D9B">
      <w:pPr>
        <w:ind w:firstLine="360"/>
        <w:jc w:val="both"/>
        <w:rPr>
          <w:rFonts w:ascii="Arial" w:hAnsi="Arial" w:cs="Arial"/>
        </w:rPr>
      </w:pPr>
      <w:r w:rsidRPr="00226402">
        <w:rPr>
          <w:rFonts w:ascii="Arial" w:hAnsi="Arial" w:cs="Arial"/>
        </w:rPr>
        <w:t xml:space="preserve">Σε </w:t>
      </w:r>
      <w:proofErr w:type="spellStart"/>
      <w:r w:rsidRPr="00226402">
        <w:rPr>
          <w:rFonts w:ascii="Arial" w:hAnsi="Arial" w:cs="Arial"/>
        </w:rPr>
        <w:t>ό,τι</w:t>
      </w:r>
      <w:proofErr w:type="spellEnd"/>
      <w:r w:rsidRPr="00226402">
        <w:rPr>
          <w:rFonts w:ascii="Arial" w:hAnsi="Arial" w:cs="Arial"/>
        </w:rPr>
        <w:t xml:space="preserve"> αφορά την </w:t>
      </w:r>
      <w:r w:rsidRPr="003801A0">
        <w:rPr>
          <w:rFonts w:ascii="Arial" w:hAnsi="Arial" w:cs="Arial"/>
        </w:rPr>
        <w:t>περιφερειακή διάσταση του προγράμματος,</w:t>
      </w:r>
      <w:r w:rsidRPr="00226402">
        <w:rPr>
          <w:rFonts w:ascii="Arial" w:hAnsi="Arial" w:cs="Arial"/>
        </w:rPr>
        <w:t xml:space="preserve"> από τα στοιχεία των ολοκληρωμένων επενδυτικών σχεδίων προκύπτει ότι η πλειοψηφία τους με ποσοστό 79,26% έχει έδρα στην Αττική και την Κεντρική Μακεδονία, με τα ποσοστά να ανέρχονται σε 49,69% (242 έργα) και 29,57% (144 έργα), αντίστοιχα. Ακολουθούν η Δυτική Μακεδονία με ποσοστό </w:t>
      </w:r>
      <w:r w:rsidR="003E48BF" w:rsidRPr="00226402">
        <w:rPr>
          <w:rFonts w:ascii="Arial" w:hAnsi="Arial" w:cs="Arial"/>
        </w:rPr>
        <w:t xml:space="preserve">5,13% (25 έργα), η Στερεά Ελλάδα με ποσοστό 4,11% (20 έργα), η Κρήτη με ποσοστό 2,46% (12 έργα), η Θεσσαλία με ποσοστό 2,05% (10 έργα), η Πελοπόννησος με ποσοστό </w:t>
      </w:r>
      <w:r w:rsidR="00950F6D" w:rsidRPr="00226402">
        <w:rPr>
          <w:rFonts w:ascii="Arial" w:hAnsi="Arial" w:cs="Arial"/>
        </w:rPr>
        <w:t>1,64%</w:t>
      </w:r>
      <w:r w:rsidR="003E48BF" w:rsidRPr="00226402">
        <w:rPr>
          <w:rFonts w:ascii="Arial" w:hAnsi="Arial" w:cs="Arial"/>
        </w:rPr>
        <w:t xml:space="preserve"> (8 έργα), η Δυτική Ελλάδα με ποσοστό 1,44% (7 έργα), το Βόρειο Αιγαίο με ποσοστό 0,82% (4 έργα), η Ήπειρος με ποσοστό 0,41% (2 έργα) και τα Ιόνια Νησιά με ποσοστό 0,21% (1 έργο).</w:t>
      </w:r>
    </w:p>
    <w:p w:rsidR="00850021" w:rsidRDefault="00850021" w:rsidP="002E2D9B">
      <w:pPr>
        <w:ind w:firstLine="360"/>
        <w:jc w:val="both"/>
        <w:rPr>
          <w:rFonts w:ascii="Arial" w:hAnsi="Arial" w:cs="Arial"/>
        </w:rPr>
      </w:pPr>
      <w:r w:rsidRPr="00226402">
        <w:rPr>
          <w:rFonts w:ascii="Arial" w:hAnsi="Arial" w:cs="Arial"/>
        </w:rPr>
        <w:t>Επιπρόσθετα, στην Αττική ο συνολικός εγκεκριμένος Π/Υ των ενταγμένων έργων ανήλθε στο ποσό των 20.243.369,55 ευρώ καλύπτοντας το 45,63% του συνολικού εγκεκριμένου Π/Υ του προγράμματος και το 44,58% της εγκεκριμένης δημόσιας δαπάνης του προγράμματος. Στην Κεντρική Μακεδονία ο συνολικός εγκεκριμένος Π/Υ των ενταγμένων έργων ανήλθε στο ποσό των 13.912.725,81 ευρώ καλύπτοντας το 31,36% του συνολικού εγκεκριμένου Π/Υ του προγράμματος και το 32,19% της εγκεκριμένης δημόσιας δαπάνης του προγράμματος.</w:t>
      </w:r>
    </w:p>
    <w:p w:rsidR="00410CFD" w:rsidRPr="00CB3F42" w:rsidRDefault="00CC6141" w:rsidP="002E2D9B">
      <w:pPr>
        <w:jc w:val="center"/>
        <w:rPr>
          <w:rFonts w:ascii="Arial" w:hAnsi="Arial" w:cs="Arial"/>
          <w:b/>
        </w:rPr>
      </w:pPr>
      <w:r w:rsidRPr="00CB3F42">
        <w:rPr>
          <w:rFonts w:ascii="Arial" w:hAnsi="Arial" w:cs="Arial"/>
          <w:b/>
        </w:rPr>
        <w:t>Συγκεντρωτικός Πίνακας ανά Περιφέρεια</w:t>
      </w:r>
    </w:p>
    <w:tbl>
      <w:tblPr>
        <w:tblStyle w:val="32"/>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29"/>
        <w:gridCol w:w="563"/>
        <w:gridCol w:w="745"/>
        <w:gridCol w:w="685"/>
        <w:gridCol w:w="685"/>
        <w:gridCol w:w="699"/>
        <w:gridCol w:w="845"/>
        <w:gridCol w:w="845"/>
        <w:gridCol w:w="866"/>
        <w:gridCol w:w="741"/>
        <w:gridCol w:w="787"/>
        <w:gridCol w:w="801"/>
      </w:tblGrid>
      <w:tr w:rsidR="00850021" w:rsidRPr="00410CFD" w:rsidTr="005606DE">
        <w:trPr>
          <w:cnfStyle w:val="100000000000"/>
          <w:trHeight w:val="370"/>
          <w:jc w:val="center"/>
        </w:trPr>
        <w:tc>
          <w:tcPr>
            <w:cnfStyle w:val="001000000000"/>
            <w:tcW w:w="1229" w:type="dxa"/>
            <w:vMerge w:val="restart"/>
            <w:tcBorders>
              <w:top w:val="none" w:sz="0" w:space="0" w:color="auto"/>
              <w:left w:val="none" w:sz="0" w:space="0" w:color="auto"/>
              <w:bottom w:val="none" w:sz="0" w:space="0" w:color="auto"/>
              <w:right w:val="none" w:sz="0" w:space="0" w:color="auto"/>
            </w:tcBorders>
            <w:shd w:val="clear" w:color="auto" w:fill="BFBFBF" w:themeFill="background1" w:themeFillShade="BF"/>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color w:val="auto"/>
                <w:sz w:val="18"/>
                <w:szCs w:val="18"/>
                <w:lang w:eastAsia="el-GR"/>
              </w:rPr>
            </w:pPr>
            <w:r w:rsidRPr="00410CFD">
              <w:rPr>
                <w:rFonts w:ascii="Arial" w:eastAsiaTheme="minorEastAsia" w:hAnsi="Arial" w:cs="Arial"/>
                <w:bCs w:val="0"/>
                <w:color w:val="auto"/>
                <w:sz w:val="18"/>
                <w:szCs w:val="18"/>
                <w:lang w:eastAsia="el-GR"/>
              </w:rPr>
              <w:t>Περιφέρεια</w:t>
            </w:r>
          </w:p>
        </w:tc>
        <w:tc>
          <w:tcPr>
            <w:tcW w:w="1308" w:type="dxa"/>
            <w:gridSpan w:val="2"/>
            <w:tcBorders>
              <w:top w:val="none" w:sz="0" w:space="0" w:color="auto"/>
              <w:left w:val="none" w:sz="0" w:space="0" w:color="auto"/>
              <w:bottom w:val="none" w:sz="0" w:space="0" w:color="auto"/>
              <w:right w:val="none" w:sz="0" w:space="0" w:color="auto"/>
            </w:tcBorders>
            <w:shd w:val="clear" w:color="auto" w:fill="BFBFBF" w:themeFill="background1" w:themeFillShade="BF"/>
            <w:noWrap/>
            <w:vAlign w:val="center"/>
            <w:hideMark/>
          </w:tcPr>
          <w:p w:rsidR="00410CFD" w:rsidRPr="00410CFD" w:rsidRDefault="00410CFD" w:rsidP="00410CFD">
            <w:pPr>
              <w:spacing w:before="60" w:after="60" w:line="276" w:lineRule="auto"/>
              <w:jc w:val="center"/>
              <w:cnfStyle w:val="1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Έργα</w:t>
            </w:r>
          </w:p>
        </w:tc>
        <w:tc>
          <w:tcPr>
            <w:tcW w:w="2069" w:type="dxa"/>
            <w:gridSpan w:val="3"/>
            <w:tcBorders>
              <w:top w:val="none" w:sz="0" w:space="0" w:color="auto"/>
              <w:left w:val="none" w:sz="0" w:space="0" w:color="auto"/>
              <w:bottom w:val="none" w:sz="0" w:space="0" w:color="auto"/>
              <w:right w:val="none" w:sz="0" w:space="0" w:color="auto"/>
            </w:tcBorders>
            <w:shd w:val="clear" w:color="auto" w:fill="BFBFBF" w:themeFill="background1" w:themeFillShade="BF"/>
            <w:noWrap/>
            <w:vAlign w:val="center"/>
            <w:hideMark/>
          </w:tcPr>
          <w:p w:rsidR="00410CFD" w:rsidRPr="00410CFD" w:rsidRDefault="00410CFD" w:rsidP="00410CFD">
            <w:pPr>
              <w:spacing w:before="60" w:after="60" w:line="276" w:lineRule="auto"/>
              <w:jc w:val="center"/>
              <w:cnfStyle w:val="1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Συνολικός Προϋπολογισμός</w:t>
            </w:r>
          </w:p>
        </w:tc>
        <w:tc>
          <w:tcPr>
            <w:tcW w:w="2556" w:type="dxa"/>
            <w:gridSpan w:val="3"/>
            <w:tcBorders>
              <w:top w:val="none" w:sz="0" w:space="0" w:color="auto"/>
              <w:left w:val="none" w:sz="0" w:space="0" w:color="auto"/>
              <w:bottom w:val="none" w:sz="0" w:space="0" w:color="auto"/>
              <w:right w:val="none" w:sz="0" w:space="0" w:color="auto"/>
            </w:tcBorders>
            <w:shd w:val="clear" w:color="auto" w:fill="BFBFBF" w:themeFill="background1" w:themeFillShade="BF"/>
            <w:noWrap/>
            <w:vAlign w:val="center"/>
            <w:hideMark/>
          </w:tcPr>
          <w:p w:rsidR="00410CFD" w:rsidRPr="00410CFD" w:rsidRDefault="00410CFD" w:rsidP="00410CFD">
            <w:pPr>
              <w:spacing w:before="60" w:after="60" w:line="276" w:lineRule="auto"/>
              <w:jc w:val="center"/>
              <w:cnfStyle w:val="1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Επιχορηγούμενος Προϋπολογισμός</w:t>
            </w:r>
          </w:p>
        </w:tc>
        <w:tc>
          <w:tcPr>
            <w:tcW w:w="2329" w:type="dxa"/>
            <w:gridSpan w:val="3"/>
            <w:tcBorders>
              <w:top w:val="none" w:sz="0" w:space="0" w:color="auto"/>
              <w:left w:val="none" w:sz="0" w:space="0" w:color="auto"/>
              <w:bottom w:val="none" w:sz="0" w:space="0" w:color="auto"/>
              <w:right w:val="none" w:sz="0" w:space="0" w:color="auto"/>
            </w:tcBorders>
            <w:shd w:val="clear" w:color="auto" w:fill="BFBFBF" w:themeFill="background1" w:themeFillShade="BF"/>
            <w:noWrap/>
            <w:vAlign w:val="center"/>
            <w:hideMark/>
          </w:tcPr>
          <w:p w:rsidR="00410CFD" w:rsidRPr="00410CFD" w:rsidRDefault="00410CFD" w:rsidP="00410CFD">
            <w:pPr>
              <w:spacing w:before="60" w:after="60" w:line="276" w:lineRule="auto"/>
              <w:jc w:val="center"/>
              <w:cnfStyle w:val="1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Δημόσια Δαπάνη Ολοκλήρωσης</w:t>
            </w:r>
          </w:p>
        </w:tc>
      </w:tr>
      <w:tr w:rsidR="00850021" w:rsidRPr="00410CFD" w:rsidTr="005606DE">
        <w:trPr>
          <w:cnfStyle w:val="000000100000"/>
          <w:trHeight w:val="370"/>
          <w:jc w:val="center"/>
        </w:trPr>
        <w:tc>
          <w:tcPr>
            <w:cnfStyle w:val="001000000000"/>
            <w:tcW w:w="1229" w:type="dxa"/>
            <w:vMerge/>
            <w:tcBorders>
              <w:left w:val="none" w:sz="0" w:space="0" w:color="auto"/>
              <w:right w:val="none" w:sz="0" w:space="0" w:color="auto"/>
            </w:tcBorders>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p>
        </w:tc>
        <w:tc>
          <w:tcPr>
            <w:tcW w:w="563"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Ν</w:t>
            </w:r>
          </w:p>
        </w:tc>
        <w:tc>
          <w:tcPr>
            <w:tcW w:w="745"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w:t>
            </w:r>
          </w:p>
        </w:tc>
        <w:tc>
          <w:tcPr>
            <w:tcW w:w="685"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εκ</w:t>
            </w:r>
            <w:r w:rsidRPr="00410CFD">
              <w:rPr>
                <w:rFonts w:ascii="Arial" w:eastAsiaTheme="minorEastAsia" w:hAnsi="Arial" w:cs="Arial"/>
                <w:b/>
                <w:bCs/>
                <w:color w:val="auto"/>
                <w:sz w:val="18"/>
                <w:szCs w:val="18"/>
                <w:lang w:val="en-US" w:eastAsia="el-GR"/>
              </w:rPr>
              <w:t>.</w:t>
            </w:r>
            <w:r w:rsidRPr="00410CFD">
              <w:rPr>
                <w:rFonts w:ascii="Arial" w:eastAsiaTheme="minorEastAsia" w:hAnsi="Arial" w:cs="Arial"/>
                <w:b/>
                <w:bCs/>
                <w:color w:val="auto"/>
                <w:sz w:val="18"/>
                <w:szCs w:val="18"/>
                <w:lang w:eastAsia="el-GR"/>
              </w:rPr>
              <w:t xml:space="preserve"> €</w:t>
            </w:r>
          </w:p>
        </w:tc>
        <w:tc>
          <w:tcPr>
            <w:tcW w:w="685"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w:t>
            </w:r>
          </w:p>
        </w:tc>
        <w:tc>
          <w:tcPr>
            <w:tcW w:w="699" w:type="dxa"/>
            <w:tcBorders>
              <w:left w:val="none" w:sz="0" w:space="0" w:color="auto"/>
              <w:right w:val="none" w:sz="0" w:space="0" w:color="auto"/>
            </w:tcBorders>
            <w:shd w:val="clear" w:color="auto" w:fill="FFFFFF" w:themeFill="background1"/>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proofErr w:type="spellStart"/>
            <w:r w:rsidRPr="00410CFD">
              <w:rPr>
                <w:rFonts w:ascii="Arial" w:eastAsiaTheme="minorEastAsia" w:hAnsi="Arial" w:cs="Arial"/>
                <w:b/>
                <w:bCs/>
                <w:color w:val="auto"/>
                <w:sz w:val="18"/>
                <w:szCs w:val="18"/>
                <w:lang w:eastAsia="el-GR"/>
              </w:rPr>
              <w:t>μ.ο</w:t>
            </w:r>
            <w:proofErr w:type="spellEnd"/>
            <w:r w:rsidRPr="00410CFD">
              <w:rPr>
                <w:rFonts w:ascii="Arial" w:eastAsiaTheme="minorEastAsia" w:hAnsi="Arial" w:cs="Arial"/>
                <w:b/>
                <w:bCs/>
                <w:color w:val="auto"/>
                <w:sz w:val="18"/>
                <w:szCs w:val="18"/>
                <w:lang w:eastAsia="el-GR"/>
              </w:rPr>
              <w:t>.</w:t>
            </w:r>
          </w:p>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χιλ. €</w:t>
            </w:r>
          </w:p>
        </w:tc>
        <w:tc>
          <w:tcPr>
            <w:tcW w:w="845"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εκ</w:t>
            </w:r>
            <w:r w:rsidRPr="00410CFD">
              <w:rPr>
                <w:rFonts w:ascii="Arial" w:eastAsiaTheme="minorEastAsia" w:hAnsi="Arial" w:cs="Arial"/>
                <w:b/>
                <w:bCs/>
                <w:color w:val="auto"/>
                <w:sz w:val="18"/>
                <w:szCs w:val="18"/>
                <w:lang w:val="en-US" w:eastAsia="el-GR"/>
              </w:rPr>
              <w:t>.</w:t>
            </w:r>
            <w:r w:rsidRPr="00410CFD">
              <w:rPr>
                <w:rFonts w:ascii="Arial" w:eastAsiaTheme="minorEastAsia" w:hAnsi="Arial" w:cs="Arial"/>
                <w:b/>
                <w:bCs/>
                <w:color w:val="auto"/>
                <w:sz w:val="18"/>
                <w:szCs w:val="18"/>
                <w:lang w:eastAsia="el-GR"/>
              </w:rPr>
              <w:t xml:space="preserve"> €</w:t>
            </w:r>
          </w:p>
        </w:tc>
        <w:tc>
          <w:tcPr>
            <w:tcW w:w="845"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w:t>
            </w:r>
          </w:p>
        </w:tc>
        <w:tc>
          <w:tcPr>
            <w:tcW w:w="866" w:type="dxa"/>
            <w:tcBorders>
              <w:left w:val="none" w:sz="0" w:space="0" w:color="auto"/>
              <w:right w:val="none" w:sz="0" w:space="0" w:color="auto"/>
            </w:tcBorders>
            <w:shd w:val="clear" w:color="auto" w:fill="FFFFFF" w:themeFill="background1"/>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proofErr w:type="spellStart"/>
            <w:r w:rsidRPr="00410CFD">
              <w:rPr>
                <w:rFonts w:ascii="Arial" w:eastAsiaTheme="minorEastAsia" w:hAnsi="Arial" w:cs="Arial"/>
                <w:b/>
                <w:bCs/>
                <w:color w:val="auto"/>
                <w:sz w:val="18"/>
                <w:szCs w:val="18"/>
                <w:lang w:eastAsia="el-GR"/>
              </w:rPr>
              <w:t>μ.ο</w:t>
            </w:r>
            <w:proofErr w:type="spellEnd"/>
            <w:r w:rsidRPr="00410CFD">
              <w:rPr>
                <w:rFonts w:ascii="Arial" w:eastAsiaTheme="minorEastAsia" w:hAnsi="Arial" w:cs="Arial"/>
                <w:b/>
                <w:bCs/>
                <w:color w:val="auto"/>
                <w:sz w:val="18"/>
                <w:szCs w:val="18"/>
                <w:lang w:eastAsia="el-GR"/>
              </w:rPr>
              <w:t>.</w:t>
            </w:r>
          </w:p>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χιλ. €</w:t>
            </w:r>
          </w:p>
        </w:tc>
        <w:tc>
          <w:tcPr>
            <w:tcW w:w="741"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εκ</w:t>
            </w:r>
            <w:r w:rsidRPr="00410CFD">
              <w:rPr>
                <w:rFonts w:ascii="Arial" w:eastAsiaTheme="minorEastAsia" w:hAnsi="Arial" w:cs="Arial"/>
                <w:b/>
                <w:bCs/>
                <w:color w:val="auto"/>
                <w:sz w:val="18"/>
                <w:szCs w:val="18"/>
                <w:lang w:val="en-US" w:eastAsia="el-GR"/>
              </w:rPr>
              <w:t>.</w:t>
            </w:r>
            <w:r w:rsidRPr="00410CFD">
              <w:rPr>
                <w:rFonts w:ascii="Arial" w:eastAsiaTheme="minorEastAsia" w:hAnsi="Arial" w:cs="Arial"/>
                <w:b/>
                <w:bCs/>
                <w:color w:val="auto"/>
                <w:sz w:val="18"/>
                <w:szCs w:val="18"/>
                <w:lang w:eastAsia="el-GR"/>
              </w:rPr>
              <w:t xml:space="preserve"> €</w:t>
            </w:r>
          </w:p>
        </w:tc>
        <w:tc>
          <w:tcPr>
            <w:tcW w:w="787" w:type="dxa"/>
            <w:tcBorders>
              <w:left w:val="none" w:sz="0" w:space="0" w:color="auto"/>
              <w:right w:val="none" w:sz="0" w:space="0" w:color="auto"/>
            </w:tcBorders>
            <w:shd w:val="clear" w:color="auto" w:fill="FFFFFF" w:themeFill="background1"/>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w:t>
            </w:r>
          </w:p>
        </w:tc>
        <w:tc>
          <w:tcPr>
            <w:tcW w:w="801" w:type="dxa"/>
            <w:tcBorders>
              <w:left w:val="none" w:sz="0" w:space="0" w:color="auto"/>
              <w:right w:val="none" w:sz="0" w:space="0" w:color="auto"/>
            </w:tcBorders>
            <w:shd w:val="clear" w:color="auto" w:fill="FFFFFF" w:themeFill="background1"/>
          </w:tcPr>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proofErr w:type="spellStart"/>
            <w:r w:rsidRPr="00410CFD">
              <w:rPr>
                <w:rFonts w:ascii="Arial" w:eastAsiaTheme="minorEastAsia" w:hAnsi="Arial" w:cs="Arial"/>
                <w:b/>
                <w:bCs/>
                <w:color w:val="auto"/>
                <w:sz w:val="18"/>
                <w:szCs w:val="18"/>
                <w:lang w:eastAsia="el-GR"/>
              </w:rPr>
              <w:t>μ.ο</w:t>
            </w:r>
            <w:proofErr w:type="spellEnd"/>
            <w:r w:rsidRPr="00410CFD">
              <w:rPr>
                <w:rFonts w:ascii="Arial" w:eastAsiaTheme="minorEastAsia" w:hAnsi="Arial" w:cs="Arial"/>
                <w:b/>
                <w:bCs/>
                <w:color w:val="auto"/>
                <w:sz w:val="18"/>
                <w:szCs w:val="18"/>
                <w:lang w:eastAsia="el-GR"/>
              </w:rPr>
              <w:t>.</w:t>
            </w:r>
          </w:p>
          <w:p w:rsidR="00410CFD" w:rsidRPr="00410CFD" w:rsidRDefault="00410CFD" w:rsidP="00410CFD">
            <w:pPr>
              <w:spacing w:before="60" w:after="60" w:line="276" w:lineRule="auto"/>
              <w:jc w:val="center"/>
              <w:cnfStyle w:val="000000100000"/>
              <w:rPr>
                <w:rFonts w:ascii="Arial" w:eastAsiaTheme="minorEastAsia" w:hAnsi="Arial" w:cs="Arial"/>
                <w:b/>
                <w:bCs/>
                <w:color w:val="auto"/>
                <w:sz w:val="18"/>
                <w:szCs w:val="18"/>
                <w:lang w:eastAsia="el-GR"/>
              </w:rPr>
            </w:pPr>
            <w:r w:rsidRPr="00410CFD">
              <w:rPr>
                <w:rFonts w:ascii="Arial" w:eastAsiaTheme="minorEastAsia" w:hAnsi="Arial" w:cs="Arial"/>
                <w:b/>
                <w:bCs/>
                <w:color w:val="auto"/>
                <w:sz w:val="18"/>
                <w:szCs w:val="18"/>
                <w:lang w:eastAsia="el-GR"/>
              </w:rPr>
              <w:t>χιλ. €</w:t>
            </w:r>
          </w:p>
        </w:tc>
      </w:tr>
      <w:tr w:rsidR="00850021" w:rsidRPr="00410CFD" w:rsidTr="005606DE">
        <w:trPr>
          <w:trHeight w:val="370"/>
          <w:jc w:val="center"/>
        </w:trPr>
        <w:tc>
          <w:tcPr>
            <w:cnfStyle w:val="001000000000"/>
            <w:tcW w:w="1229" w:type="dxa"/>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Αν. Μακεδονία &amp; Θράκη</w:t>
            </w:r>
          </w:p>
        </w:tc>
        <w:tc>
          <w:tcPr>
            <w:tcW w:w="563"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10</w:t>
            </w:r>
          </w:p>
        </w:tc>
        <w:tc>
          <w:tcPr>
            <w:tcW w:w="7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2,05</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1,10</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2,47</w:t>
            </w:r>
          </w:p>
        </w:tc>
        <w:tc>
          <w:tcPr>
            <w:tcW w:w="699"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109,7</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1,10</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2,56</w:t>
            </w:r>
          </w:p>
        </w:tc>
        <w:tc>
          <w:tcPr>
            <w:tcW w:w="866"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109,5</w:t>
            </w:r>
          </w:p>
        </w:tc>
        <w:tc>
          <w:tcPr>
            <w:tcW w:w="741"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0,44</w:t>
            </w:r>
          </w:p>
        </w:tc>
        <w:tc>
          <w:tcPr>
            <w:tcW w:w="787"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2,41</w:t>
            </w:r>
          </w:p>
        </w:tc>
        <w:tc>
          <w:tcPr>
            <w:tcW w:w="801"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43,66</w:t>
            </w:r>
          </w:p>
        </w:tc>
      </w:tr>
      <w:tr w:rsidR="00850021" w:rsidRPr="00410CFD" w:rsidTr="005606DE">
        <w:trPr>
          <w:cnfStyle w:val="000000100000"/>
          <w:trHeight w:val="370"/>
          <w:jc w:val="center"/>
        </w:trPr>
        <w:tc>
          <w:tcPr>
            <w:cnfStyle w:val="001000000000"/>
            <w:tcW w:w="1229" w:type="dxa"/>
            <w:tcBorders>
              <w:left w:val="none" w:sz="0" w:space="0" w:color="auto"/>
              <w:right w:val="none" w:sz="0" w:space="0" w:color="auto"/>
            </w:tcBorders>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Αττική</w:t>
            </w:r>
          </w:p>
        </w:tc>
        <w:tc>
          <w:tcPr>
            <w:tcW w:w="563"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242</w:t>
            </w:r>
          </w:p>
        </w:tc>
        <w:tc>
          <w:tcPr>
            <w:tcW w:w="7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49,69</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20,24</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45,63</w:t>
            </w:r>
          </w:p>
        </w:tc>
        <w:tc>
          <w:tcPr>
            <w:tcW w:w="699"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83,6</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19,20</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44,96</w:t>
            </w:r>
          </w:p>
        </w:tc>
        <w:tc>
          <w:tcPr>
            <w:tcW w:w="866"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79,3</w:t>
            </w:r>
          </w:p>
        </w:tc>
        <w:tc>
          <w:tcPr>
            <w:tcW w:w="741"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8,08</w:t>
            </w:r>
          </w:p>
        </w:tc>
        <w:tc>
          <w:tcPr>
            <w:tcW w:w="787"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44,58</w:t>
            </w:r>
          </w:p>
        </w:tc>
        <w:tc>
          <w:tcPr>
            <w:tcW w:w="801"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33,37</w:t>
            </w:r>
          </w:p>
        </w:tc>
      </w:tr>
      <w:tr w:rsidR="00850021" w:rsidRPr="00410CFD" w:rsidTr="005606DE">
        <w:trPr>
          <w:trHeight w:val="370"/>
          <w:jc w:val="center"/>
        </w:trPr>
        <w:tc>
          <w:tcPr>
            <w:cnfStyle w:val="001000000000"/>
            <w:tcW w:w="1229" w:type="dxa"/>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Βόρειο Αιγαίο</w:t>
            </w:r>
          </w:p>
        </w:tc>
        <w:tc>
          <w:tcPr>
            <w:tcW w:w="563"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4</w:t>
            </w:r>
          </w:p>
        </w:tc>
        <w:tc>
          <w:tcPr>
            <w:tcW w:w="7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0,82</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0,46</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1,05</w:t>
            </w:r>
          </w:p>
        </w:tc>
        <w:tc>
          <w:tcPr>
            <w:tcW w:w="699"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116,0</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0,46</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1,09</w:t>
            </w:r>
          </w:p>
        </w:tc>
        <w:tc>
          <w:tcPr>
            <w:tcW w:w="866"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116,0</w:t>
            </w:r>
          </w:p>
        </w:tc>
        <w:tc>
          <w:tcPr>
            <w:tcW w:w="741"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0,21</w:t>
            </w:r>
          </w:p>
        </w:tc>
        <w:tc>
          <w:tcPr>
            <w:tcW w:w="787"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1,15</w:t>
            </w:r>
          </w:p>
        </w:tc>
        <w:tc>
          <w:tcPr>
            <w:tcW w:w="801"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52,03</w:t>
            </w:r>
          </w:p>
        </w:tc>
      </w:tr>
      <w:tr w:rsidR="00850021" w:rsidRPr="00410CFD" w:rsidTr="005606DE">
        <w:trPr>
          <w:cnfStyle w:val="000000100000"/>
          <w:trHeight w:val="370"/>
          <w:jc w:val="center"/>
        </w:trPr>
        <w:tc>
          <w:tcPr>
            <w:cnfStyle w:val="001000000000"/>
            <w:tcW w:w="1229" w:type="dxa"/>
            <w:tcBorders>
              <w:left w:val="none" w:sz="0" w:space="0" w:color="auto"/>
              <w:right w:val="none" w:sz="0" w:space="0" w:color="auto"/>
            </w:tcBorders>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Δυτική Ελλάδα</w:t>
            </w:r>
          </w:p>
        </w:tc>
        <w:tc>
          <w:tcPr>
            <w:tcW w:w="563"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7</w:t>
            </w:r>
          </w:p>
        </w:tc>
        <w:tc>
          <w:tcPr>
            <w:tcW w:w="7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1,44</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0,68</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1,52</w:t>
            </w:r>
          </w:p>
        </w:tc>
        <w:tc>
          <w:tcPr>
            <w:tcW w:w="699"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96,5</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0,65</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1,52</w:t>
            </w:r>
          </w:p>
        </w:tc>
        <w:tc>
          <w:tcPr>
            <w:tcW w:w="866"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92,6</w:t>
            </w:r>
          </w:p>
        </w:tc>
        <w:tc>
          <w:tcPr>
            <w:tcW w:w="741"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0,26</w:t>
            </w:r>
          </w:p>
        </w:tc>
        <w:tc>
          <w:tcPr>
            <w:tcW w:w="787"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1,45</w:t>
            </w:r>
          </w:p>
        </w:tc>
        <w:tc>
          <w:tcPr>
            <w:tcW w:w="801"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37,65</w:t>
            </w:r>
          </w:p>
        </w:tc>
      </w:tr>
      <w:tr w:rsidR="00850021" w:rsidRPr="00410CFD" w:rsidTr="005606DE">
        <w:trPr>
          <w:trHeight w:val="370"/>
          <w:jc w:val="center"/>
        </w:trPr>
        <w:tc>
          <w:tcPr>
            <w:cnfStyle w:val="001000000000"/>
            <w:tcW w:w="1229" w:type="dxa"/>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Δυτική Μακεδονία</w:t>
            </w:r>
          </w:p>
        </w:tc>
        <w:tc>
          <w:tcPr>
            <w:tcW w:w="563"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25</w:t>
            </w:r>
          </w:p>
        </w:tc>
        <w:tc>
          <w:tcPr>
            <w:tcW w:w="7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5,13</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2,47</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5,57</w:t>
            </w:r>
          </w:p>
        </w:tc>
        <w:tc>
          <w:tcPr>
            <w:tcW w:w="699"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98,9</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2,42</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5,68</w:t>
            </w:r>
          </w:p>
        </w:tc>
        <w:tc>
          <w:tcPr>
            <w:tcW w:w="866"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96,9</w:t>
            </w:r>
          </w:p>
        </w:tc>
        <w:tc>
          <w:tcPr>
            <w:tcW w:w="741"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1,09</w:t>
            </w:r>
          </w:p>
        </w:tc>
        <w:tc>
          <w:tcPr>
            <w:tcW w:w="787"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6,01</w:t>
            </w:r>
          </w:p>
        </w:tc>
        <w:tc>
          <w:tcPr>
            <w:tcW w:w="801"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43,54</w:t>
            </w:r>
          </w:p>
        </w:tc>
      </w:tr>
      <w:tr w:rsidR="00850021" w:rsidRPr="00410CFD" w:rsidTr="005606DE">
        <w:trPr>
          <w:cnfStyle w:val="000000100000"/>
          <w:trHeight w:val="370"/>
          <w:jc w:val="center"/>
        </w:trPr>
        <w:tc>
          <w:tcPr>
            <w:cnfStyle w:val="001000000000"/>
            <w:tcW w:w="1229" w:type="dxa"/>
            <w:tcBorders>
              <w:left w:val="none" w:sz="0" w:space="0" w:color="auto"/>
              <w:right w:val="none" w:sz="0" w:space="0" w:color="auto"/>
            </w:tcBorders>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Ήπειρος</w:t>
            </w:r>
          </w:p>
        </w:tc>
        <w:tc>
          <w:tcPr>
            <w:tcW w:w="563"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w:t>
            </w:r>
          </w:p>
        </w:tc>
        <w:tc>
          <w:tcPr>
            <w:tcW w:w="7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0,41</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0,19</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0,42</w:t>
            </w:r>
          </w:p>
        </w:tc>
        <w:tc>
          <w:tcPr>
            <w:tcW w:w="699"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92,6</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0,19</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0,43</w:t>
            </w:r>
          </w:p>
        </w:tc>
        <w:tc>
          <w:tcPr>
            <w:tcW w:w="866"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92,6</w:t>
            </w:r>
          </w:p>
        </w:tc>
        <w:tc>
          <w:tcPr>
            <w:tcW w:w="741"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0,07</w:t>
            </w:r>
          </w:p>
        </w:tc>
        <w:tc>
          <w:tcPr>
            <w:tcW w:w="787"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0,38</w:t>
            </w:r>
          </w:p>
        </w:tc>
        <w:tc>
          <w:tcPr>
            <w:tcW w:w="801"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34,15</w:t>
            </w:r>
          </w:p>
        </w:tc>
      </w:tr>
      <w:tr w:rsidR="00850021" w:rsidRPr="00410CFD" w:rsidTr="005606DE">
        <w:trPr>
          <w:trHeight w:val="370"/>
          <w:jc w:val="center"/>
        </w:trPr>
        <w:tc>
          <w:tcPr>
            <w:cnfStyle w:val="001000000000"/>
            <w:tcW w:w="1229" w:type="dxa"/>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Θεσσαλία</w:t>
            </w:r>
          </w:p>
        </w:tc>
        <w:tc>
          <w:tcPr>
            <w:tcW w:w="563"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10</w:t>
            </w:r>
          </w:p>
        </w:tc>
        <w:tc>
          <w:tcPr>
            <w:tcW w:w="7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2,05</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1,16</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2,63</w:t>
            </w:r>
          </w:p>
        </w:tc>
        <w:tc>
          <w:tcPr>
            <w:tcW w:w="699"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116,4</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1,13</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2,65</w:t>
            </w:r>
          </w:p>
        </w:tc>
        <w:tc>
          <w:tcPr>
            <w:tcW w:w="866"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113,3</w:t>
            </w:r>
          </w:p>
        </w:tc>
        <w:tc>
          <w:tcPr>
            <w:tcW w:w="741"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0,49</w:t>
            </w:r>
          </w:p>
        </w:tc>
        <w:tc>
          <w:tcPr>
            <w:tcW w:w="787"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2,68</w:t>
            </w:r>
          </w:p>
        </w:tc>
        <w:tc>
          <w:tcPr>
            <w:tcW w:w="801"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48,51</w:t>
            </w:r>
          </w:p>
        </w:tc>
      </w:tr>
      <w:tr w:rsidR="00850021" w:rsidRPr="00410CFD" w:rsidTr="005606DE">
        <w:trPr>
          <w:cnfStyle w:val="000000100000"/>
          <w:trHeight w:val="370"/>
          <w:jc w:val="center"/>
        </w:trPr>
        <w:tc>
          <w:tcPr>
            <w:cnfStyle w:val="001000000000"/>
            <w:tcW w:w="1229" w:type="dxa"/>
            <w:tcBorders>
              <w:left w:val="none" w:sz="0" w:space="0" w:color="auto"/>
              <w:right w:val="none" w:sz="0" w:space="0" w:color="auto"/>
            </w:tcBorders>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Ιόνια νησιά</w:t>
            </w:r>
          </w:p>
        </w:tc>
        <w:tc>
          <w:tcPr>
            <w:tcW w:w="563"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w:t>
            </w:r>
          </w:p>
        </w:tc>
        <w:tc>
          <w:tcPr>
            <w:tcW w:w="7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0,21</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0,02</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0,05</w:t>
            </w:r>
          </w:p>
        </w:tc>
        <w:tc>
          <w:tcPr>
            <w:tcW w:w="699"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23,2</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0,02</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0,05</w:t>
            </w:r>
          </w:p>
        </w:tc>
        <w:tc>
          <w:tcPr>
            <w:tcW w:w="866"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23,2</w:t>
            </w:r>
          </w:p>
        </w:tc>
        <w:tc>
          <w:tcPr>
            <w:tcW w:w="741"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0,01</w:t>
            </w:r>
          </w:p>
        </w:tc>
        <w:tc>
          <w:tcPr>
            <w:tcW w:w="787"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0,05</w:t>
            </w:r>
          </w:p>
        </w:tc>
        <w:tc>
          <w:tcPr>
            <w:tcW w:w="801"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9,4</w:t>
            </w:r>
          </w:p>
        </w:tc>
      </w:tr>
      <w:tr w:rsidR="00850021" w:rsidRPr="00410CFD" w:rsidTr="005606DE">
        <w:trPr>
          <w:trHeight w:val="370"/>
          <w:jc w:val="center"/>
        </w:trPr>
        <w:tc>
          <w:tcPr>
            <w:cnfStyle w:val="001000000000"/>
            <w:tcW w:w="1229" w:type="dxa"/>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Κεντρική Μακεδονία</w:t>
            </w:r>
          </w:p>
        </w:tc>
        <w:tc>
          <w:tcPr>
            <w:tcW w:w="563"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144</w:t>
            </w:r>
          </w:p>
        </w:tc>
        <w:tc>
          <w:tcPr>
            <w:tcW w:w="7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29,57</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13,91</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31,36</w:t>
            </w:r>
          </w:p>
        </w:tc>
        <w:tc>
          <w:tcPr>
            <w:tcW w:w="699"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96,6</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13,55</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31,73</w:t>
            </w:r>
          </w:p>
        </w:tc>
        <w:tc>
          <w:tcPr>
            <w:tcW w:w="866"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94,0</w:t>
            </w:r>
          </w:p>
        </w:tc>
        <w:tc>
          <w:tcPr>
            <w:tcW w:w="741"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5,83</w:t>
            </w:r>
          </w:p>
        </w:tc>
        <w:tc>
          <w:tcPr>
            <w:tcW w:w="787"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32,19</w:t>
            </w:r>
          </w:p>
        </w:tc>
        <w:tc>
          <w:tcPr>
            <w:tcW w:w="801"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40,49</w:t>
            </w:r>
          </w:p>
        </w:tc>
      </w:tr>
      <w:tr w:rsidR="00850021" w:rsidRPr="00410CFD" w:rsidTr="005606DE">
        <w:trPr>
          <w:cnfStyle w:val="000000100000"/>
          <w:trHeight w:val="370"/>
          <w:jc w:val="center"/>
        </w:trPr>
        <w:tc>
          <w:tcPr>
            <w:cnfStyle w:val="001000000000"/>
            <w:tcW w:w="1229" w:type="dxa"/>
            <w:tcBorders>
              <w:left w:val="none" w:sz="0" w:space="0" w:color="auto"/>
              <w:right w:val="none" w:sz="0" w:space="0" w:color="auto"/>
            </w:tcBorders>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Κρήτη</w:t>
            </w:r>
          </w:p>
        </w:tc>
        <w:tc>
          <w:tcPr>
            <w:tcW w:w="563"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12</w:t>
            </w:r>
          </w:p>
        </w:tc>
        <w:tc>
          <w:tcPr>
            <w:tcW w:w="7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2,46</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1,01</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2,27</w:t>
            </w:r>
          </w:p>
        </w:tc>
        <w:tc>
          <w:tcPr>
            <w:tcW w:w="699"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83,9</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0,96</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2,25</w:t>
            </w:r>
          </w:p>
        </w:tc>
        <w:tc>
          <w:tcPr>
            <w:tcW w:w="866"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80,1</w:t>
            </w:r>
          </w:p>
        </w:tc>
        <w:tc>
          <w:tcPr>
            <w:tcW w:w="741"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0,40</w:t>
            </w:r>
          </w:p>
        </w:tc>
        <w:tc>
          <w:tcPr>
            <w:tcW w:w="787"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2,23</w:t>
            </w:r>
          </w:p>
        </w:tc>
        <w:tc>
          <w:tcPr>
            <w:tcW w:w="801"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33,68</w:t>
            </w:r>
          </w:p>
        </w:tc>
      </w:tr>
      <w:tr w:rsidR="00850021" w:rsidRPr="00410CFD" w:rsidTr="005606DE">
        <w:trPr>
          <w:trHeight w:val="370"/>
          <w:jc w:val="center"/>
        </w:trPr>
        <w:tc>
          <w:tcPr>
            <w:cnfStyle w:val="001000000000"/>
            <w:tcW w:w="1229" w:type="dxa"/>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proofErr w:type="spellStart"/>
            <w:r w:rsidRPr="00410CFD">
              <w:rPr>
                <w:rFonts w:ascii="Arial" w:eastAsiaTheme="minorEastAsia" w:hAnsi="Arial" w:cs="Arial"/>
                <w:bCs w:val="0"/>
                <w:color w:val="auto"/>
                <w:sz w:val="18"/>
                <w:szCs w:val="18"/>
                <w:lang w:eastAsia="el-GR"/>
              </w:rPr>
              <w:t>Πελ</w:t>
            </w:r>
            <w:proofErr w:type="spellEnd"/>
            <w:r w:rsidRPr="00410CFD">
              <w:rPr>
                <w:rFonts w:ascii="Arial" w:eastAsiaTheme="minorEastAsia" w:hAnsi="Arial" w:cs="Arial"/>
                <w:bCs w:val="0"/>
                <w:color w:val="auto"/>
                <w:sz w:val="18"/>
                <w:szCs w:val="18"/>
                <w:lang w:eastAsia="el-GR"/>
              </w:rPr>
              <w:t>/</w:t>
            </w:r>
            <w:proofErr w:type="spellStart"/>
            <w:r w:rsidRPr="00410CFD">
              <w:rPr>
                <w:rFonts w:ascii="Arial" w:eastAsiaTheme="minorEastAsia" w:hAnsi="Arial" w:cs="Arial"/>
                <w:bCs w:val="0"/>
                <w:color w:val="auto"/>
                <w:sz w:val="18"/>
                <w:szCs w:val="18"/>
                <w:lang w:eastAsia="el-GR"/>
              </w:rPr>
              <w:t>νησος</w:t>
            </w:r>
            <w:proofErr w:type="spellEnd"/>
          </w:p>
        </w:tc>
        <w:tc>
          <w:tcPr>
            <w:tcW w:w="563"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9</w:t>
            </w:r>
          </w:p>
        </w:tc>
        <w:tc>
          <w:tcPr>
            <w:tcW w:w="7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1,85</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0,89</w:t>
            </w:r>
          </w:p>
        </w:tc>
        <w:tc>
          <w:tcPr>
            <w:tcW w:w="68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w:t>
            </w:r>
          </w:p>
        </w:tc>
        <w:tc>
          <w:tcPr>
            <w:tcW w:w="699"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98,8</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0,83</w:t>
            </w:r>
          </w:p>
        </w:tc>
        <w:tc>
          <w:tcPr>
            <w:tcW w:w="845"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1,95</w:t>
            </w:r>
          </w:p>
        </w:tc>
        <w:tc>
          <w:tcPr>
            <w:tcW w:w="866"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92,5</w:t>
            </w:r>
          </w:p>
        </w:tc>
        <w:tc>
          <w:tcPr>
            <w:tcW w:w="741"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0,35</w:t>
            </w:r>
          </w:p>
        </w:tc>
        <w:tc>
          <w:tcPr>
            <w:tcW w:w="787" w:type="dxa"/>
            <w:noWrap/>
            <w:vAlign w:val="center"/>
            <w:hideMark/>
          </w:tcPr>
          <w:p w:rsidR="00410CFD" w:rsidRPr="00410CFD" w:rsidRDefault="00410CFD" w:rsidP="00410CFD">
            <w:pPr>
              <w:spacing w:before="60" w:after="60" w:line="276" w:lineRule="auto"/>
              <w:jc w:val="center"/>
              <w:cnfStyle w:val="0000000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1,92</w:t>
            </w:r>
          </w:p>
        </w:tc>
        <w:tc>
          <w:tcPr>
            <w:tcW w:w="801" w:type="dxa"/>
            <w:vAlign w:val="center"/>
          </w:tcPr>
          <w:p w:rsidR="00410CFD" w:rsidRPr="00410CFD" w:rsidRDefault="00410CFD" w:rsidP="00410CFD">
            <w:pPr>
              <w:spacing w:before="60" w:after="60" w:line="276" w:lineRule="auto"/>
              <w:jc w:val="center"/>
              <w:cnfStyle w:val="0000000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38,61</w:t>
            </w:r>
          </w:p>
        </w:tc>
      </w:tr>
      <w:tr w:rsidR="00850021" w:rsidRPr="00410CFD" w:rsidTr="005606DE">
        <w:trPr>
          <w:cnfStyle w:val="000000100000"/>
          <w:trHeight w:val="370"/>
          <w:jc w:val="center"/>
        </w:trPr>
        <w:tc>
          <w:tcPr>
            <w:cnfStyle w:val="001000000000"/>
            <w:tcW w:w="1229" w:type="dxa"/>
            <w:tcBorders>
              <w:left w:val="none" w:sz="0" w:space="0" w:color="auto"/>
              <w:right w:val="none" w:sz="0" w:space="0" w:color="auto"/>
            </w:tcBorders>
            <w:noWrap/>
            <w:vAlign w:val="center"/>
            <w:hideMark/>
          </w:tcPr>
          <w:p w:rsidR="00410CFD" w:rsidRPr="00410CFD" w:rsidRDefault="00410CFD" w:rsidP="00410CFD">
            <w:pPr>
              <w:tabs>
                <w:tab w:val="left" w:pos="736"/>
              </w:tabs>
              <w:spacing w:before="60" w:after="60" w:line="276" w:lineRule="auto"/>
              <w:rPr>
                <w:rFonts w:ascii="Arial" w:eastAsiaTheme="minorEastAsia" w:hAnsi="Arial" w:cs="Arial"/>
                <w:bCs w:val="0"/>
                <w:color w:val="auto"/>
                <w:sz w:val="18"/>
                <w:szCs w:val="18"/>
                <w:lang w:eastAsia="el-GR"/>
              </w:rPr>
            </w:pPr>
            <w:r w:rsidRPr="00410CFD">
              <w:rPr>
                <w:rFonts w:ascii="Arial" w:eastAsiaTheme="minorEastAsia" w:hAnsi="Arial" w:cs="Arial"/>
                <w:bCs w:val="0"/>
                <w:color w:val="auto"/>
                <w:sz w:val="18"/>
                <w:szCs w:val="18"/>
                <w:lang w:eastAsia="el-GR"/>
              </w:rPr>
              <w:t>Στερεά Ελλάδα</w:t>
            </w:r>
          </w:p>
        </w:tc>
        <w:tc>
          <w:tcPr>
            <w:tcW w:w="563"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21</w:t>
            </w:r>
          </w:p>
        </w:tc>
        <w:tc>
          <w:tcPr>
            <w:tcW w:w="7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4,31</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2,23</w:t>
            </w:r>
          </w:p>
        </w:tc>
        <w:tc>
          <w:tcPr>
            <w:tcW w:w="68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5,02</w:t>
            </w:r>
          </w:p>
        </w:tc>
        <w:tc>
          <w:tcPr>
            <w:tcW w:w="699"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106,1</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2,19</w:t>
            </w:r>
          </w:p>
        </w:tc>
        <w:tc>
          <w:tcPr>
            <w:tcW w:w="845"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5,13</w:t>
            </w:r>
          </w:p>
        </w:tc>
        <w:tc>
          <w:tcPr>
            <w:tcW w:w="866"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104,2</w:t>
            </w:r>
          </w:p>
        </w:tc>
        <w:tc>
          <w:tcPr>
            <w:tcW w:w="741"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0,90</w:t>
            </w:r>
          </w:p>
        </w:tc>
        <w:tc>
          <w:tcPr>
            <w:tcW w:w="787" w:type="dxa"/>
            <w:tcBorders>
              <w:left w:val="none" w:sz="0" w:space="0" w:color="auto"/>
              <w:right w:val="none" w:sz="0" w:space="0" w:color="auto"/>
            </w:tcBorders>
            <w:noWrap/>
            <w:vAlign w:val="center"/>
            <w:hideMark/>
          </w:tcPr>
          <w:p w:rsidR="00410CFD" w:rsidRPr="00410CFD" w:rsidRDefault="00410CFD" w:rsidP="00410CFD">
            <w:pPr>
              <w:spacing w:before="60" w:after="60" w:line="276" w:lineRule="auto"/>
              <w:jc w:val="center"/>
              <w:cnfStyle w:val="000000100000"/>
              <w:rPr>
                <w:rFonts w:ascii="Arial" w:eastAsiaTheme="minorEastAsia" w:hAnsi="Arial" w:cs="Arial"/>
                <w:color w:val="auto"/>
                <w:sz w:val="18"/>
                <w:szCs w:val="18"/>
                <w:lang w:eastAsia="el-GR"/>
              </w:rPr>
            </w:pPr>
            <w:r w:rsidRPr="00410CFD">
              <w:rPr>
                <w:rFonts w:ascii="Arial" w:eastAsiaTheme="minorEastAsia" w:hAnsi="Arial" w:cs="Arial"/>
                <w:color w:val="auto"/>
                <w:sz w:val="18"/>
                <w:szCs w:val="18"/>
                <w:lang w:eastAsia="el-GR"/>
              </w:rPr>
              <w:t>4,96</w:t>
            </w:r>
          </w:p>
        </w:tc>
        <w:tc>
          <w:tcPr>
            <w:tcW w:w="801" w:type="dxa"/>
            <w:tcBorders>
              <w:left w:val="none" w:sz="0" w:space="0" w:color="auto"/>
              <w:right w:val="none" w:sz="0" w:space="0" w:color="auto"/>
            </w:tcBorders>
            <w:vAlign w:val="center"/>
          </w:tcPr>
          <w:p w:rsidR="00410CFD" w:rsidRPr="00410CFD" w:rsidRDefault="00410CFD" w:rsidP="00410CFD">
            <w:pPr>
              <w:spacing w:before="60" w:after="60" w:line="276" w:lineRule="auto"/>
              <w:jc w:val="center"/>
              <w:cnfStyle w:val="000000100000"/>
              <w:rPr>
                <w:rFonts w:ascii="Arial" w:eastAsiaTheme="minorEastAsia" w:hAnsi="Arial" w:cs="Arial"/>
                <w:color w:val="000000"/>
                <w:sz w:val="18"/>
                <w:szCs w:val="18"/>
                <w:lang w:eastAsia="el-GR"/>
              </w:rPr>
            </w:pPr>
            <w:r w:rsidRPr="00410CFD">
              <w:rPr>
                <w:rFonts w:ascii="Arial" w:eastAsiaTheme="minorEastAsia" w:hAnsi="Arial" w:cs="Arial"/>
                <w:color w:val="000000"/>
                <w:sz w:val="18"/>
                <w:szCs w:val="18"/>
                <w:lang w:eastAsia="el-GR"/>
              </w:rPr>
              <w:t>42,76</w:t>
            </w:r>
          </w:p>
        </w:tc>
      </w:tr>
    </w:tbl>
    <w:p w:rsidR="00850021" w:rsidRDefault="00850021" w:rsidP="00850021">
      <w:pPr>
        <w:ind w:firstLine="426"/>
        <w:jc w:val="both"/>
        <w:rPr>
          <w:rFonts w:ascii="Arial" w:hAnsi="Arial" w:cs="Arial"/>
        </w:rPr>
      </w:pPr>
    </w:p>
    <w:p w:rsidR="00586A5F" w:rsidRDefault="00850021" w:rsidP="00850021">
      <w:pPr>
        <w:ind w:firstLine="426"/>
        <w:jc w:val="both"/>
        <w:rPr>
          <w:rFonts w:ascii="Arial" w:hAnsi="Arial" w:cs="Arial"/>
        </w:rPr>
      </w:pPr>
      <w:r w:rsidRPr="00226402">
        <w:rPr>
          <w:rFonts w:ascii="Arial" w:hAnsi="Arial" w:cs="Arial"/>
        </w:rPr>
        <w:t xml:space="preserve">Τέλος, στην Περιφέρεια Αττικής ποσοστό 70,66% των ενταγμένων έργων (δηλαδή 171 από τα 242 συνολικά ενταγμένα έργα) αφορούσαν πολύ μικρές και μικρές επιχειρήσεις απορροφώντας το 62,54% της δημόσιας δαπάνης του προγράμματος για την περιφέρεια, ποσοστό 11,09% (54 έργα) μεσαίες  οι οποίες απορρόφησαν το 29,91% της δημόσιας δαπάνης της περιφέρειας επιχειρήσεις και ποσοστό 3,49% (17 έργα) μεγάλες επιχειρήσεις. </w:t>
      </w:r>
    </w:p>
    <w:p w:rsidR="00850021" w:rsidRPr="00226402" w:rsidRDefault="00850021" w:rsidP="00850021">
      <w:pPr>
        <w:ind w:firstLine="426"/>
        <w:jc w:val="both"/>
        <w:rPr>
          <w:rFonts w:ascii="Arial" w:hAnsi="Arial" w:cs="Arial"/>
        </w:rPr>
      </w:pPr>
      <w:r w:rsidRPr="00226402">
        <w:rPr>
          <w:rFonts w:ascii="Arial" w:hAnsi="Arial" w:cs="Arial"/>
        </w:rPr>
        <w:t>Αντίστοιχα, στην Περιφέρεια Κεντρικής Μακεδονίας ποσοστό 80,56% των ενταγμένων έργων (δηλαδή 116 από τα 144 συνολικά ενταγμένα έργα) αφορούσαν πολύ μικρές και μικρές επιχειρήσεις απορροφώντας το 75,46% της δημόσιας δαπάνης του προγράμματος για την περιφέρεια, ποσοστό 4,11% (20 έργα) μεσαίες επιχειρήσεις οι οποίες απορρόφησαν το 19,33% της δημόσιας δαπάνης της περιφέρειας και ποσοστό 1,64% (8 έργα) αφορούσε μεγάλες επιχειρήσεις.</w:t>
      </w:r>
    </w:p>
    <w:p w:rsidR="00410CFD" w:rsidRPr="00CC6141" w:rsidRDefault="00410CFD" w:rsidP="00E2768C">
      <w:pPr>
        <w:jc w:val="both"/>
        <w:rPr>
          <w:rFonts w:ascii="Arial" w:hAnsi="Arial" w:cs="Arial"/>
        </w:rPr>
      </w:pPr>
    </w:p>
    <w:p w:rsidR="00410CFD" w:rsidRPr="00CB3F42" w:rsidRDefault="00CB3F42" w:rsidP="00850021">
      <w:pPr>
        <w:jc w:val="center"/>
        <w:rPr>
          <w:rFonts w:ascii="Arial" w:hAnsi="Arial" w:cs="Arial"/>
          <w:b/>
        </w:rPr>
      </w:pPr>
      <w:r>
        <w:rPr>
          <w:rFonts w:ascii="Arial" w:hAnsi="Arial" w:cs="Arial"/>
        </w:rPr>
        <w:br w:type="page"/>
      </w:r>
      <w:r w:rsidR="00CC6141" w:rsidRPr="00CB3F42">
        <w:rPr>
          <w:rFonts w:ascii="Arial" w:hAnsi="Arial" w:cs="Arial"/>
          <w:b/>
        </w:rPr>
        <w:t>Πίνακας ανά Περιφέρεια κ</w:t>
      </w:r>
      <w:r w:rsidRPr="00CB3F42">
        <w:rPr>
          <w:rFonts w:ascii="Arial" w:hAnsi="Arial" w:cs="Arial"/>
          <w:b/>
        </w:rPr>
        <w:t>αι</w:t>
      </w:r>
      <w:r w:rsidR="00CC6141" w:rsidRPr="00CB3F42">
        <w:rPr>
          <w:rFonts w:ascii="Arial" w:hAnsi="Arial" w:cs="Arial"/>
          <w:b/>
        </w:rPr>
        <w:t xml:space="preserve"> μέγεθος</w:t>
      </w:r>
    </w:p>
    <w:tbl>
      <w:tblPr>
        <w:tblStyle w:val="32"/>
        <w:tblW w:w="962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tblPr>
      <w:tblGrid>
        <w:gridCol w:w="851"/>
        <w:gridCol w:w="1418"/>
        <w:gridCol w:w="567"/>
        <w:gridCol w:w="708"/>
        <w:gridCol w:w="851"/>
        <w:gridCol w:w="992"/>
        <w:gridCol w:w="851"/>
        <w:gridCol w:w="850"/>
        <w:gridCol w:w="851"/>
        <w:gridCol w:w="850"/>
        <w:gridCol w:w="816"/>
        <w:gridCol w:w="16"/>
      </w:tblGrid>
      <w:tr w:rsidR="00A30E73" w:rsidRPr="00A30E73" w:rsidTr="005606DE">
        <w:trPr>
          <w:gridAfter w:val="1"/>
          <w:cnfStyle w:val="100000000000"/>
          <w:wAfter w:w="16" w:type="dxa"/>
          <w:trHeight w:val="557"/>
        </w:trPr>
        <w:tc>
          <w:tcPr>
            <w:cnfStyle w:val="001000000000"/>
            <w:tcW w:w="851" w:type="dxa"/>
            <w:vMerge w:val="restart"/>
            <w:tcBorders>
              <w:top w:val="none" w:sz="0" w:space="0" w:color="auto"/>
              <w:left w:val="none" w:sz="0" w:space="0" w:color="auto"/>
              <w:bottom w:val="none" w:sz="0" w:space="0" w:color="auto"/>
              <w:right w:val="none" w:sz="0" w:space="0" w:color="auto"/>
            </w:tcBorders>
            <w:shd w:val="clear" w:color="auto" w:fill="FFFFFF" w:themeFill="background1"/>
            <w:noWrap/>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b w:val="0"/>
                <w:bCs w:val="0"/>
                <w:color w:val="000000"/>
                <w:sz w:val="17"/>
                <w:szCs w:val="17"/>
                <w:lang w:eastAsia="el-GR"/>
              </w:rPr>
            </w:pPr>
            <w:r w:rsidRPr="00A30E73">
              <w:rPr>
                <w:rFonts w:ascii="Arial" w:eastAsia="Times New Roman" w:hAnsi="Arial" w:cs="Arial"/>
                <w:color w:val="000000"/>
                <w:sz w:val="17"/>
                <w:szCs w:val="17"/>
                <w:lang w:eastAsia="el-GR"/>
              </w:rPr>
              <w:t>Περιφέρεια</w:t>
            </w:r>
          </w:p>
        </w:tc>
        <w:tc>
          <w:tcPr>
            <w:tcW w:w="1418" w:type="dxa"/>
            <w:vMerge w:val="restart"/>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rsidR="00090D83" w:rsidRPr="00A30E73" w:rsidRDefault="00090D83" w:rsidP="00A30E73">
            <w:pPr>
              <w:spacing w:before="40" w:after="40"/>
              <w:contextualSpacing/>
              <w:jc w:val="center"/>
              <w:cnfStyle w:val="100000000000"/>
              <w:rPr>
                <w:rFonts w:ascii="Arial" w:eastAsia="Times New Roman" w:hAnsi="Arial" w:cs="Arial"/>
                <w:b w:val="0"/>
                <w:bCs w:val="0"/>
                <w:color w:val="000000"/>
                <w:sz w:val="17"/>
                <w:szCs w:val="17"/>
                <w:lang w:eastAsia="el-GR"/>
              </w:rPr>
            </w:pPr>
            <w:r w:rsidRPr="00A30E73">
              <w:rPr>
                <w:rFonts w:ascii="Arial" w:eastAsia="Times New Roman" w:hAnsi="Arial" w:cs="Arial"/>
                <w:color w:val="000000"/>
                <w:sz w:val="17"/>
                <w:szCs w:val="17"/>
                <w:lang w:eastAsia="el-GR"/>
              </w:rPr>
              <w:t>Μέγεθος</w:t>
            </w:r>
          </w:p>
        </w:tc>
        <w:tc>
          <w:tcPr>
            <w:tcW w:w="2126" w:type="dxa"/>
            <w:gridSpan w:val="3"/>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rsidR="00090D83" w:rsidRPr="00A30E73" w:rsidRDefault="00090D83" w:rsidP="00090D83">
            <w:pPr>
              <w:spacing w:before="40" w:after="40"/>
              <w:contextualSpacing/>
              <w:jc w:val="center"/>
              <w:cnfStyle w:val="100000000000"/>
              <w:rPr>
                <w:rFonts w:ascii="Arial" w:eastAsia="Times New Roman" w:hAnsi="Arial" w:cs="Arial"/>
                <w:bCs w:val="0"/>
                <w:color w:val="000000"/>
                <w:sz w:val="17"/>
                <w:szCs w:val="17"/>
                <w:lang w:eastAsia="el-GR"/>
              </w:rPr>
            </w:pPr>
            <w:r w:rsidRPr="00A30E73">
              <w:rPr>
                <w:rFonts w:ascii="Arial" w:eastAsia="Times New Roman" w:hAnsi="Arial" w:cs="Arial"/>
                <w:bCs w:val="0"/>
                <w:color w:val="000000"/>
                <w:sz w:val="17"/>
                <w:szCs w:val="17"/>
                <w:lang w:eastAsia="el-GR"/>
              </w:rPr>
              <w:t>Έργα</w:t>
            </w:r>
          </w:p>
        </w:tc>
        <w:tc>
          <w:tcPr>
            <w:tcW w:w="1843" w:type="dxa"/>
            <w:gridSpan w:val="2"/>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rsidR="00090D83" w:rsidRPr="00A30E73" w:rsidRDefault="00090D83" w:rsidP="00090D83">
            <w:pPr>
              <w:spacing w:before="40" w:after="40"/>
              <w:contextualSpacing/>
              <w:jc w:val="center"/>
              <w:cnfStyle w:val="100000000000"/>
              <w:rPr>
                <w:rFonts w:ascii="Arial" w:eastAsia="Times New Roman" w:hAnsi="Arial" w:cs="Arial"/>
                <w:b w:val="0"/>
                <w:bCs w:val="0"/>
                <w:color w:val="000000"/>
                <w:sz w:val="17"/>
                <w:szCs w:val="17"/>
                <w:lang w:eastAsia="el-GR"/>
              </w:rPr>
            </w:pPr>
            <w:r w:rsidRPr="00A30E73">
              <w:rPr>
                <w:rFonts w:ascii="Arial" w:eastAsia="Times New Roman" w:hAnsi="Arial" w:cs="Arial"/>
                <w:color w:val="000000"/>
                <w:sz w:val="17"/>
                <w:szCs w:val="17"/>
                <w:lang w:eastAsia="el-GR"/>
              </w:rPr>
              <w:t>Συνολικός Προϋπολογισμός</w:t>
            </w:r>
          </w:p>
        </w:tc>
        <w:tc>
          <w:tcPr>
            <w:tcW w:w="1701" w:type="dxa"/>
            <w:gridSpan w:val="2"/>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rsidR="00090D83" w:rsidRPr="00A30E73" w:rsidRDefault="00090D83" w:rsidP="00090D83">
            <w:pPr>
              <w:spacing w:before="40" w:after="40"/>
              <w:contextualSpacing/>
              <w:jc w:val="center"/>
              <w:cnfStyle w:val="100000000000"/>
              <w:rPr>
                <w:rFonts w:ascii="Arial" w:eastAsia="Times New Roman" w:hAnsi="Arial" w:cs="Arial"/>
                <w:b w:val="0"/>
                <w:bCs w:val="0"/>
                <w:color w:val="000000"/>
                <w:sz w:val="17"/>
                <w:szCs w:val="17"/>
                <w:lang w:eastAsia="el-GR"/>
              </w:rPr>
            </w:pPr>
            <w:r w:rsidRPr="00A30E73">
              <w:rPr>
                <w:rFonts w:ascii="Arial" w:eastAsia="Times New Roman" w:hAnsi="Arial" w:cs="Arial"/>
                <w:color w:val="000000"/>
                <w:sz w:val="17"/>
                <w:szCs w:val="17"/>
                <w:lang w:eastAsia="el-GR"/>
              </w:rPr>
              <w:t>Επιχορηγούμενος Προϋπολογισμός</w:t>
            </w:r>
          </w:p>
        </w:tc>
        <w:tc>
          <w:tcPr>
            <w:tcW w:w="1666" w:type="dxa"/>
            <w:gridSpan w:val="2"/>
            <w:tcBorders>
              <w:top w:val="none" w:sz="0" w:space="0" w:color="auto"/>
              <w:left w:val="none" w:sz="0" w:space="0" w:color="auto"/>
              <w:bottom w:val="none" w:sz="0" w:space="0" w:color="auto"/>
              <w:right w:val="none" w:sz="0" w:space="0" w:color="auto"/>
            </w:tcBorders>
            <w:shd w:val="clear" w:color="auto" w:fill="FFFFFF" w:themeFill="background1"/>
            <w:noWrap/>
            <w:vAlign w:val="center"/>
            <w:hideMark/>
          </w:tcPr>
          <w:p w:rsidR="00090D83" w:rsidRPr="00A30E73" w:rsidRDefault="00090D83" w:rsidP="00090D83">
            <w:pPr>
              <w:spacing w:before="40" w:after="40"/>
              <w:contextualSpacing/>
              <w:jc w:val="center"/>
              <w:cnfStyle w:val="100000000000"/>
              <w:rPr>
                <w:rFonts w:ascii="Arial" w:eastAsia="Times New Roman" w:hAnsi="Arial" w:cs="Arial"/>
                <w:b w:val="0"/>
                <w:bCs w:val="0"/>
                <w:color w:val="000000"/>
                <w:sz w:val="17"/>
                <w:szCs w:val="17"/>
                <w:lang w:eastAsia="el-GR"/>
              </w:rPr>
            </w:pPr>
            <w:r w:rsidRPr="00A30E73">
              <w:rPr>
                <w:rFonts w:ascii="Arial" w:eastAsia="Times New Roman" w:hAnsi="Arial" w:cs="Arial"/>
                <w:color w:val="000000"/>
                <w:sz w:val="17"/>
                <w:szCs w:val="17"/>
                <w:lang w:eastAsia="el-GR"/>
              </w:rPr>
              <w:t>Δημόσια Δαπάνη Ολοκλήρωσης</w:t>
            </w:r>
          </w:p>
        </w:tc>
      </w:tr>
      <w:tr w:rsidR="00A30E73" w:rsidRPr="00090D83" w:rsidTr="005606DE">
        <w:trPr>
          <w:cnfStyle w:val="000000100000"/>
          <w:trHeight w:val="566"/>
        </w:trPr>
        <w:tc>
          <w:tcPr>
            <w:cnfStyle w:val="001000000000"/>
            <w:tcW w:w="851" w:type="dxa"/>
            <w:vMerge/>
            <w:tcBorders>
              <w:left w:val="none" w:sz="0" w:space="0" w:color="auto"/>
              <w:right w:val="none" w:sz="0" w:space="0" w:color="auto"/>
            </w:tcBorders>
            <w:shd w:val="clear" w:color="auto" w:fill="FFFFFF" w:themeFill="background1"/>
            <w:noWrap/>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vMerge/>
            <w:tcBorders>
              <w:left w:val="none" w:sz="0" w:space="0" w:color="auto"/>
              <w:right w:val="none" w:sz="0" w:space="0" w:color="auto"/>
            </w:tcBorders>
            <w:shd w:val="clear" w:color="auto" w:fill="FFFFFF" w:themeFill="background1"/>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Ν</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tc>
        <w:tc>
          <w:tcPr>
            <w:tcW w:w="851" w:type="dxa"/>
            <w:tcBorders>
              <w:left w:val="none" w:sz="0" w:space="0" w:color="auto"/>
              <w:right w:val="none" w:sz="0" w:space="0" w:color="auto"/>
            </w:tcBorders>
            <w:shd w:val="clear" w:color="auto" w:fill="BFBFBF" w:themeFill="background1" w:themeFillShade="BF"/>
            <w:noWrap/>
            <w:vAlign w:val="center"/>
            <w:hideMark/>
          </w:tcPr>
          <w:p w:rsidR="00A30E73" w:rsidRPr="00A30E73" w:rsidRDefault="00A30E7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proofErr w:type="spellStart"/>
            <w:r w:rsidRPr="00A30E73">
              <w:rPr>
                <w:rFonts w:ascii="Arial" w:eastAsia="Times New Roman" w:hAnsi="Arial" w:cs="Arial"/>
                <w:b/>
                <w:bCs/>
                <w:color w:val="000000"/>
                <w:sz w:val="17"/>
                <w:szCs w:val="17"/>
                <w:lang w:eastAsia="el-GR"/>
              </w:rPr>
              <w:t>Περιφ</w:t>
            </w:r>
            <w:proofErr w:type="spellEnd"/>
            <w:r w:rsidRPr="00A30E73">
              <w:rPr>
                <w:rFonts w:ascii="Arial" w:eastAsia="Times New Roman" w:hAnsi="Arial" w:cs="Arial"/>
                <w:b/>
                <w:bCs/>
                <w:color w:val="000000"/>
                <w:sz w:val="17"/>
                <w:szCs w:val="17"/>
                <w:lang w:eastAsia="el-GR"/>
              </w:rPr>
              <w:t>.</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proofErr w:type="spellStart"/>
            <w:r w:rsidRPr="00A30E73">
              <w:rPr>
                <w:rFonts w:ascii="Arial" w:eastAsia="Times New Roman" w:hAnsi="Arial" w:cs="Arial"/>
                <w:b/>
                <w:bCs/>
                <w:color w:val="000000"/>
                <w:sz w:val="17"/>
                <w:szCs w:val="17"/>
                <w:lang w:eastAsia="el-GR"/>
              </w:rPr>
              <w:t>Περιφ</w:t>
            </w:r>
            <w:proofErr w:type="spellEnd"/>
            <w:r w:rsidRPr="00A30E73">
              <w:rPr>
                <w:rFonts w:ascii="Arial" w:eastAsia="Times New Roman" w:hAnsi="Arial" w:cs="Arial"/>
                <w:b/>
                <w:bCs/>
                <w:color w:val="000000"/>
                <w:sz w:val="17"/>
                <w:szCs w:val="17"/>
                <w:lang w:eastAsia="el-GR"/>
              </w:rPr>
              <w:t>.</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proofErr w:type="spellStart"/>
            <w:r w:rsidRPr="00A30E73">
              <w:rPr>
                <w:rFonts w:ascii="Arial" w:eastAsia="Times New Roman" w:hAnsi="Arial" w:cs="Arial"/>
                <w:b/>
                <w:bCs/>
                <w:color w:val="000000"/>
                <w:sz w:val="17"/>
                <w:szCs w:val="17"/>
                <w:lang w:eastAsia="el-GR"/>
              </w:rPr>
              <w:t>Περιφ</w:t>
            </w:r>
            <w:proofErr w:type="spellEnd"/>
            <w:r w:rsidRPr="00A30E73">
              <w:rPr>
                <w:rFonts w:ascii="Arial" w:eastAsia="Times New Roman" w:hAnsi="Arial" w:cs="Arial"/>
                <w:b/>
                <w:bCs/>
                <w:color w:val="000000"/>
                <w:sz w:val="17"/>
                <w:szCs w:val="17"/>
                <w:lang w:eastAsia="el-GR"/>
              </w:rPr>
              <w:t>.</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r w:rsidRPr="00A30E73">
              <w:rPr>
                <w:rFonts w:ascii="Arial" w:eastAsia="Times New Roman" w:hAnsi="Arial" w:cs="Arial"/>
                <w:b/>
                <w:bCs/>
                <w:color w:val="000000"/>
                <w:sz w:val="17"/>
                <w:szCs w:val="17"/>
                <w:lang w:eastAsia="el-GR"/>
              </w:rPr>
              <w:t>%</w:t>
            </w:r>
          </w:p>
          <w:p w:rsidR="00090D83" w:rsidRPr="00A30E73" w:rsidRDefault="00090D83" w:rsidP="00090D83">
            <w:pPr>
              <w:spacing w:before="40" w:after="40"/>
              <w:contextualSpacing/>
              <w:jc w:val="center"/>
              <w:cnfStyle w:val="000000100000"/>
              <w:rPr>
                <w:rFonts w:ascii="Arial" w:eastAsia="Times New Roman" w:hAnsi="Arial" w:cs="Arial"/>
                <w:b/>
                <w:bCs/>
                <w:color w:val="000000"/>
                <w:sz w:val="17"/>
                <w:szCs w:val="17"/>
                <w:lang w:eastAsia="el-GR"/>
              </w:rPr>
            </w:pPr>
            <w:proofErr w:type="spellStart"/>
            <w:r w:rsidRPr="00A30E73">
              <w:rPr>
                <w:rFonts w:ascii="Arial" w:eastAsia="Times New Roman" w:hAnsi="Arial" w:cs="Arial"/>
                <w:b/>
                <w:bCs/>
                <w:color w:val="000000"/>
                <w:sz w:val="17"/>
                <w:szCs w:val="17"/>
                <w:lang w:eastAsia="el-GR"/>
              </w:rPr>
              <w:t>Περιφ</w:t>
            </w:r>
            <w:proofErr w:type="spellEnd"/>
            <w:r w:rsidRPr="00A30E73">
              <w:rPr>
                <w:rFonts w:ascii="Arial" w:eastAsia="Times New Roman" w:hAnsi="Arial" w:cs="Arial"/>
                <w:b/>
                <w:bCs/>
                <w:color w:val="000000"/>
                <w:sz w:val="17"/>
                <w:szCs w:val="17"/>
                <w:lang w:eastAsia="el-GR"/>
              </w:rPr>
              <w:t>.</w:t>
            </w:r>
          </w:p>
        </w:tc>
      </w:tr>
      <w:tr w:rsidR="00A30E73" w:rsidRPr="00090D83" w:rsidTr="005606DE">
        <w:trPr>
          <w:trHeight w:val="300"/>
        </w:trPr>
        <w:tc>
          <w:tcPr>
            <w:cnfStyle w:val="001000000000"/>
            <w:tcW w:w="851" w:type="dxa"/>
            <w:vMerge w:val="restart"/>
            <w:shd w:val="clear" w:color="auto" w:fill="BFBFBF" w:themeFill="background1" w:themeFillShade="BF"/>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Pr>
                <w:rFonts w:ascii="Arial" w:eastAsia="Times New Roman" w:hAnsi="Arial" w:cs="Arial"/>
                <w:color w:val="000000"/>
                <w:sz w:val="17"/>
                <w:szCs w:val="17"/>
                <w:lang w:eastAsia="el-GR"/>
              </w:rPr>
              <w:t xml:space="preserve">Αν. </w:t>
            </w:r>
            <w:r w:rsidRPr="00A30E73">
              <w:rPr>
                <w:rFonts w:ascii="Arial" w:eastAsia="Times New Roman" w:hAnsi="Arial" w:cs="Arial"/>
                <w:color w:val="000000"/>
                <w:sz w:val="17"/>
                <w:szCs w:val="17"/>
                <w:lang w:eastAsia="el-GR"/>
              </w:rPr>
              <w:t>Μακεδονία &amp; Θράκη</w:t>
            </w: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Μεγάλες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0,41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20</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0,79</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31,8</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0,82</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31,87</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0,58</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24,0</w:t>
            </w:r>
          </w:p>
        </w:tc>
      </w:tr>
      <w:tr w:rsidR="00A30E73" w:rsidRPr="00090D83" w:rsidTr="005606DE">
        <w:trPr>
          <w:cnfStyle w:val="000000100000"/>
          <w:trHeight w:val="300"/>
        </w:trPr>
        <w:tc>
          <w:tcPr>
            <w:cnfStyle w:val="001000000000"/>
            <w:tcW w:w="851" w:type="dxa"/>
            <w:vMerge/>
            <w:tcBorders>
              <w:left w:val="none" w:sz="0" w:space="0" w:color="auto"/>
              <w:right w:val="none" w:sz="0" w:space="0" w:color="auto"/>
            </w:tcBorders>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0,62</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30</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0,92</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37,04</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0,95</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36,92</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41,7</w:t>
            </w:r>
          </w:p>
        </w:tc>
      </w:tr>
      <w:tr w:rsidR="00A30E73" w:rsidRPr="00090D83" w:rsidTr="005606DE">
        <w:trPr>
          <w:trHeight w:val="624"/>
        </w:trPr>
        <w:tc>
          <w:tcPr>
            <w:cnfStyle w:val="001000000000"/>
            <w:tcW w:w="851" w:type="dxa"/>
            <w:vMerge/>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1,03</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50</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0,77</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31,16</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31,22</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0,83</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34,3</w:t>
            </w:r>
          </w:p>
        </w:tc>
      </w:tr>
      <w:tr w:rsidR="00A30E73" w:rsidRPr="00090D83" w:rsidTr="005606DE">
        <w:trPr>
          <w:cnfStyle w:val="000000100000"/>
          <w:trHeight w:val="300"/>
        </w:trPr>
        <w:tc>
          <w:tcPr>
            <w:cnfStyle w:val="001000000000"/>
            <w:tcW w:w="851" w:type="dxa"/>
            <w:vMerge w:val="restart"/>
            <w:tcBorders>
              <w:left w:val="none" w:sz="0" w:space="0" w:color="auto"/>
              <w:right w:val="none" w:sz="0" w:space="0" w:color="auto"/>
            </w:tcBorders>
            <w:shd w:val="clear" w:color="auto" w:fill="FFFFFF" w:themeFill="background1"/>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sidRPr="00A30E73">
              <w:rPr>
                <w:rFonts w:ascii="Arial" w:eastAsia="Times New Roman" w:hAnsi="Arial" w:cs="Arial"/>
                <w:color w:val="000000"/>
                <w:sz w:val="17"/>
                <w:szCs w:val="17"/>
                <w:lang w:eastAsia="el-GR"/>
              </w:rPr>
              <w:t>Αττική</w:t>
            </w: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Μεγάλες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17</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3,49</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7,02</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10,96</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4,76</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10,59</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3,37</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7,6</w:t>
            </w:r>
          </w:p>
        </w:tc>
      </w:tr>
      <w:tr w:rsidR="00A30E73" w:rsidRPr="00090D83" w:rsidTr="005606DE">
        <w:trPr>
          <w:trHeight w:val="300"/>
        </w:trPr>
        <w:tc>
          <w:tcPr>
            <w:cnfStyle w:val="001000000000"/>
            <w:tcW w:w="851" w:type="dxa"/>
            <w:vMerge/>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54</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11,09</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22,31</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12,95</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28,39</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12,82</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28,51</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13,33</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29,9</w:t>
            </w:r>
          </w:p>
        </w:tc>
      </w:tr>
      <w:tr w:rsidR="00A30E73" w:rsidRPr="00090D83" w:rsidTr="005606DE">
        <w:trPr>
          <w:cnfStyle w:val="000000100000"/>
          <w:trHeight w:val="300"/>
        </w:trPr>
        <w:tc>
          <w:tcPr>
            <w:cnfStyle w:val="001000000000"/>
            <w:tcW w:w="851" w:type="dxa"/>
            <w:vMerge/>
            <w:tcBorders>
              <w:left w:val="none" w:sz="0" w:space="0" w:color="auto"/>
              <w:right w:val="none" w:sz="0" w:space="0" w:color="auto"/>
            </w:tcBorders>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171</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35,11</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70,66</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27,68</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60,65</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27,38</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60,9</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27,88</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62,5</w:t>
            </w:r>
          </w:p>
        </w:tc>
      </w:tr>
      <w:tr w:rsidR="00A30E73" w:rsidRPr="00090D83" w:rsidTr="005606DE">
        <w:trPr>
          <w:trHeight w:val="300"/>
        </w:trPr>
        <w:tc>
          <w:tcPr>
            <w:cnfStyle w:val="001000000000"/>
            <w:tcW w:w="851" w:type="dxa"/>
            <w:vMerge w:val="restart"/>
            <w:shd w:val="clear" w:color="auto" w:fill="BFBFBF" w:themeFill="background1" w:themeFillShade="BF"/>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sidRPr="00A30E73">
              <w:rPr>
                <w:rFonts w:ascii="Arial" w:eastAsia="Times New Roman" w:hAnsi="Arial" w:cs="Arial"/>
                <w:color w:val="000000"/>
                <w:sz w:val="17"/>
                <w:szCs w:val="17"/>
                <w:lang w:eastAsia="el-GR"/>
              </w:rPr>
              <w:t xml:space="preserve">Βόρειο </w:t>
            </w:r>
            <w:r>
              <w:rPr>
                <w:rFonts w:ascii="Arial" w:eastAsia="Times New Roman" w:hAnsi="Arial" w:cs="Arial"/>
                <w:color w:val="000000"/>
                <w:sz w:val="17"/>
                <w:szCs w:val="17"/>
                <w:lang w:eastAsia="el-GR"/>
              </w:rPr>
              <w:t>Α</w:t>
            </w:r>
            <w:r w:rsidRPr="00A30E73">
              <w:rPr>
                <w:rFonts w:ascii="Arial" w:eastAsia="Times New Roman" w:hAnsi="Arial" w:cs="Arial"/>
                <w:color w:val="000000"/>
                <w:sz w:val="17"/>
                <w:szCs w:val="17"/>
                <w:lang w:eastAsia="el-GR"/>
              </w:rPr>
              <w:t>ιγαίο</w:t>
            </w: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25</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0,34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32,97</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0,36</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32,97</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0,38</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33,1</w:t>
            </w:r>
          </w:p>
        </w:tc>
      </w:tr>
      <w:tr w:rsidR="00A30E73" w:rsidRPr="00090D83" w:rsidTr="005606DE">
        <w:trPr>
          <w:cnfStyle w:val="000000100000"/>
          <w:trHeight w:val="625"/>
        </w:trPr>
        <w:tc>
          <w:tcPr>
            <w:cnfStyle w:val="001000000000"/>
            <w:tcW w:w="851" w:type="dxa"/>
            <w:vMerge/>
            <w:tcBorders>
              <w:left w:val="none" w:sz="0" w:space="0" w:color="auto"/>
              <w:right w:val="none" w:sz="0" w:space="0" w:color="auto"/>
            </w:tcBorders>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0,62</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75</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0,7</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67,03</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0,73</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67,03</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0,77</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66,9</w:t>
            </w:r>
          </w:p>
        </w:tc>
      </w:tr>
      <w:tr w:rsidR="00A30E73" w:rsidRPr="00090D83" w:rsidTr="005606DE">
        <w:trPr>
          <w:trHeight w:val="300"/>
        </w:trPr>
        <w:tc>
          <w:tcPr>
            <w:cnfStyle w:val="001000000000"/>
            <w:tcW w:w="851" w:type="dxa"/>
            <w:vMerge w:val="restart"/>
            <w:shd w:val="clear" w:color="auto" w:fill="FFFFFF" w:themeFill="background1"/>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proofErr w:type="spellStart"/>
            <w:r>
              <w:rPr>
                <w:rFonts w:ascii="Arial" w:eastAsia="Times New Roman" w:hAnsi="Arial" w:cs="Arial"/>
                <w:color w:val="000000"/>
                <w:sz w:val="17"/>
                <w:szCs w:val="17"/>
                <w:lang w:eastAsia="el-GR"/>
              </w:rPr>
              <w:t>Δυτ</w:t>
            </w:r>
            <w:proofErr w:type="spellEnd"/>
            <w:r>
              <w:rPr>
                <w:rFonts w:ascii="Arial" w:eastAsia="Times New Roman" w:hAnsi="Arial" w:cs="Arial"/>
                <w:color w:val="000000"/>
                <w:sz w:val="17"/>
                <w:szCs w:val="17"/>
                <w:lang w:eastAsia="el-GR"/>
              </w:rPr>
              <w:t xml:space="preserve">. </w:t>
            </w:r>
            <w:r w:rsidRPr="00A30E73">
              <w:rPr>
                <w:rFonts w:ascii="Arial" w:eastAsia="Times New Roman" w:hAnsi="Arial" w:cs="Arial"/>
                <w:color w:val="000000"/>
                <w:sz w:val="17"/>
                <w:szCs w:val="17"/>
                <w:lang w:eastAsia="el-GR"/>
              </w:rPr>
              <w:t>Ελλάδα</w:t>
            </w: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Μεγάλες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14,29</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0,44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28,73</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0,44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28,96</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0,31</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21,4</w:t>
            </w:r>
          </w:p>
        </w:tc>
      </w:tr>
      <w:tr w:rsidR="00A30E73" w:rsidRPr="00090D83" w:rsidTr="005606DE">
        <w:trPr>
          <w:cnfStyle w:val="000000100000"/>
          <w:trHeight w:val="300"/>
        </w:trPr>
        <w:tc>
          <w:tcPr>
            <w:cnfStyle w:val="001000000000"/>
            <w:tcW w:w="851" w:type="dxa"/>
            <w:vMerge/>
            <w:tcBorders>
              <w:left w:val="none" w:sz="0" w:space="0" w:color="auto"/>
              <w:right w:val="none" w:sz="0" w:space="0" w:color="auto"/>
            </w:tcBorders>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0,41</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28,57</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0,59</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38,99</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0,58</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38,24</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0,62</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42,3</w:t>
            </w:r>
          </w:p>
        </w:tc>
      </w:tr>
      <w:tr w:rsidR="00A30E73" w:rsidRPr="00090D83" w:rsidTr="005606DE">
        <w:trPr>
          <w:trHeight w:val="300"/>
        </w:trPr>
        <w:tc>
          <w:tcPr>
            <w:cnfStyle w:val="001000000000"/>
            <w:tcW w:w="851" w:type="dxa"/>
            <w:vMerge/>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0,82</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57,14</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0,49</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32,28</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0,5</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32,8</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0,53</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36,3</w:t>
            </w:r>
          </w:p>
        </w:tc>
      </w:tr>
      <w:tr w:rsidR="00A30E73" w:rsidRPr="00090D83" w:rsidTr="005606DE">
        <w:trPr>
          <w:cnfStyle w:val="000000100000"/>
          <w:trHeight w:val="300"/>
        </w:trPr>
        <w:tc>
          <w:tcPr>
            <w:cnfStyle w:val="001000000000"/>
            <w:tcW w:w="851" w:type="dxa"/>
            <w:vMerge w:val="restart"/>
            <w:tcBorders>
              <w:left w:val="none" w:sz="0" w:space="0" w:color="auto"/>
              <w:right w:val="none" w:sz="0" w:space="0" w:color="auto"/>
            </w:tcBorders>
            <w:shd w:val="clear" w:color="auto" w:fill="BFBFBF" w:themeFill="background1" w:themeFillShade="BF"/>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proofErr w:type="spellStart"/>
            <w:r>
              <w:rPr>
                <w:rFonts w:ascii="Arial" w:eastAsia="Times New Roman" w:hAnsi="Arial" w:cs="Arial"/>
                <w:color w:val="000000"/>
                <w:sz w:val="17"/>
                <w:szCs w:val="17"/>
                <w:lang w:eastAsia="el-GR"/>
              </w:rPr>
              <w:t>Δυτ</w:t>
            </w:r>
            <w:proofErr w:type="spellEnd"/>
            <w:r>
              <w:rPr>
                <w:rFonts w:ascii="Arial" w:eastAsia="Times New Roman" w:hAnsi="Arial" w:cs="Arial"/>
                <w:color w:val="000000"/>
                <w:sz w:val="17"/>
                <w:szCs w:val="17"/>
                <w:lang w:eastAsia="el-GR"/>
              </w:rPr>
              <w:t xml:space="preserve">. </w:t>
            </w:r>
            <w:r w:rsidRPr="00A30E73">
              <w:rPr>
                <w:rFonts w:ascii="Arial" w:eastAsia="Times New Roman" w:hAnsi="Arial" w:cs="Arial"/>
                <w:color w:val="000000"/>
                <w:sz w:val="17"/>
                <w:szCs w:val="17"/>
                <w:lang w:eastAsia="el-GR"/>
              </w:rPr>
              <w:t>Μακεδονία</w:t>
            </w: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0,41</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0,61</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10,95</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0,63</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11,17</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0,67</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11,2</w:t>
            </w:r>
          </w:p>
        </w:tc>
      </w:tr>
      <w:tr w:rsidR="00A30E73" w:rsidRPr="00090D83" w:rsidTr="005606DE">
        <w:trPr>
          <w:trHeight w:val="908"/>
        </w:trPr>
        <w:tc>
          <w:tcPr>
            <w:cnfStyle w:val="001000000000"/>
            <w:tcW w:w="851" w:type="dxa"/>
            <w:vMerge/>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23</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4,72</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92</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4,96</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89,05</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5,04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88,83</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5,34</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88,8</w:t>
            </w:r>
          </w:p>
        </w:tc>
      </w:tr>
      <w:tr w:rsidR="00A30E73" w:rsidRPr="00090D83" w:rsidTr="005606DE">
        <w:trPr>
          <w:cnfStyle w:val="000000100000"/>
          <w:trHeight w:val="300"/>
        </w:trPr>
        <w:tc>
          <w:tcPr>
            <w:cnfStyle w:val="001000000000"/>
            <w:tcW w:w="851" w:type="dxa"/>
            <w:vMerge w:val="restart"/>
            <w:tcBorders>
              <w:left w:val="none" w:sz="0" w:space="0" w:color="auto"/>
              <w:right w:val="none" w:sz="0" w:space="0" w:color="auto"/>
            </w:tcBorders>
            <w:shd w:val="clear" w:color="auto" w:fill="FFFFFF" w:themeFill="background1"/>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sidRPr="00A30E73">
              <w:rPr>
                <w:rFonts w:ascii="Arial" w:eastAsia="Times New Roman" w:hAnsi="Arial" w:cs="Arial"/>
                <w:color w:val="000000"/>
                <w:sz w:val="17"/>
                <w:szCs w:val="17"/>
                <w:lang w:eastAsia="el-GR"/>
              </w:rPr>
              <w:t>Ήπειρος</w:t>
            </w: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Μεγάλες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50</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0,23</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54,96</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0,24</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54,96</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0,17</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44,7</w:t>
            </w:r>
          </w:p>
        </w:tc>
      </w:tr>
      <w:tr w:rsidR="00A30E73" w:rsidRPr="00090D83" w:rsidTr="005606DE">
        <w:trPr>
          <w:trHeight w:val="684"/>
        </w:trPr>
        <w:tc>
          <w:tcPr>
            <w:cnfStyle w:val="001000000000"/>
            <w:tcW w:w="851" w:type="dxa"/>
            <w:vMerge/>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50</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0,19</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45,04</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45,04</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55,3</w:t>
            </w:r>
          </w:p>
        </w:tc>
      </w:tr>
      <w:tr w:rsidR="00A30E73" w:rsidRPr="00090D83" w:rsidTr="005606DE">
        <w:trPr>
          <w:cnfStyle w:val="000000100000"/>
          <w:trHeight w:val="300"/>
        </w:trPr>
        <w:tc>
          <w:tcPr>
            <w:cnfStyle w:val="001000000000"/>
            <w:tcW w:w="851" w:type="dxa"/>
            <w:vMerge w:val="restart"/>
            <w:tcBorders>
              <w:left w:val="none" w:sz="0" w:space="0" w:color="auto"/>
              <w:right w:val="none" w:sz="0" w:space="0" w:color="auto"/>
            </w:tcBorders>
            <w:shd w:val="clear" w:color="auto" w:fill="BFBFBF" w:themeFill="background1" w:themeFillShade="BF"/>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sidRPr="00A30E73">
              <w:rPr>
                <w:rFonts w:ascii="Arial" w:eastAsia="Times New Roman" w:hAnsi="Arial" w:cs="Arial"/>
                <w:color w:val="000000"/>
                <w:sz w:val="17"/>
                <w:szCs w:val="17"/>
                <w:lang w:eastAsia="el-GR"/>
              </w:rPr>
              <w:t>Θεσσαλία</w:t>
            </w: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Μεγάλες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0,38</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14,33</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0,39</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14,72</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0,28</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10,3</w:t>
            </w:r>
          </w:p>
        </w:tc>
      </w:tr>
      <w:tr w:rsidR="00A30E73" w:rsidRPr="00090D83" w:rsidTr="005606DE">
        <w:trPr>
          <w:trHeight w:val="300"/>
        </w:trPr>
        <w:tc>
          <w:tcPr>
            <w:cnfStyle w:val="001000000000"/>
            <w:tcW w:w="851" w:type="dxa"/>
            <w:vMerge/>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1,23</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60</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1,45</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55,21</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1,44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54,06</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1,52</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56,9</w:t>
            </w:r>
          </w:p>
        </w:tc>
      </w:tr>
      <w:tr w:rsidR="00A30E73" w:rsidRPr="00090D83" w:rsidTr="005606DE">
        <w:trPr>
          <w:cnfStyle w:val="000000100000"/>
          <w:trHeight w:val="505"/>
        </w:trPr>
        <w:tc>
          <w:tcPr>
            <w:cnfStyle w:val="001000000000"/>
            <w:tcW w:w="851" w:type="dxa"/>
            <w:vMerge/>
            <w:tcBorders>
              <w:left w:val="none" w:sz="0" w:space="0" w:color="auto"/>
              <w:right w:val="none" w:sz="0" w:space="0" w:color="auto"/>
            </w:tcBorders>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0,62</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30</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30,47</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0,83</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31,23</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0,88</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32,8</w:t>
            </w:r>
          </w:p>
        </w:tc>
      </w:tr>
      <w:tr w:rsidR="00A30E73" w:rsidRPr="00090D83" w:rsidTr="005606DE">
        <w:trPr>
          <w:trHeight w:val="696"/>
        </w:trPr>
        <w:tc>
          <w:tcPr>
            <w:cnfStyle w:val="001000000000"/>
            <w:tcW w:w="851" w:type="dxa"/>
            <w:shd w:val="clear" w:color="auto" w:fill="FFFFFF" w:themeFill="background1"/>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sidRPr="00A30E73">
              <w:rPr>
                <w:rFonts w:ascii="Arial" w:eastAsia="Times New Roman" w:hAnsi="Arial" w:cs="Arial"/>
                <w:color w:val="000000"/>
                <w:sz w:val="17"/>
                <w:szCs w:val="17"/>
                <w:lang w:eastAsia="el-GR"/>
              </w:rPr>
              <w:t>Ιόνια νησιά</w:t>
            </w: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100</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0,05</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100</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0,05</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100</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0,05</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100,0</w:t>
            </w:r>
          </w:p>
        </w:tc>
      </w:tr>
      <w:tr w:rsidR="00A30E73" w:rsidRPr="00090D83" w:rsidTr="005606DE">
        <w:trPr>
          <w:cnfStyle w:val="000000100000"/>
          <w:trHeight w:val="300"/>
        </w:trPr>
        <w:tc>
          <w:tcPr>
            <w:cnfStyle w:val="001000000000"/>
            <w:tcW w:w="851" w:type="dxa"/>
            <w:vMerge w:val="restart"/>
            <w:tcBorders>
              <w:left w:val="none" w:sz="0" w:space="0" w:color="auto"/>
              <w:right w:val="none" w:sz="0" w:space="0" w:color="auto"/>
            </w:tcBorders>
            <w:shd w:val="clear" w:color="auto" w:fill="BFBFBF" w:themeFill="background1" w:themeFillShade="BF"/>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Pr>
                <w:rFonts w:ascii="Arial" w:eastAsia="Times New Roman" w:hAnsi="Arial" w:cs="Arial"/>
                <w:color w:val="000000"/>
                <w:sz w:val="17"/>
                <w:szCs w:val="17"/>
                <w:lang w:eastAsia="el-GR"/>
              </w:rPr>
              <w:t xml:space="preserve">Κεντ. </w:t>
            </w:r>
            <w:r w:rsidRPr="00A30E73">
              <w:rPr>
                <w:rFonts w:ascii="Arial" w:eastAsia="Times New Roman" w:hAnsi="Arial" w:cs="Arial"/>
                <w:color w:val="000000"/>
                <w:sz w:val="17"/>
                <w:szCs w:val="17"/>
                <w:lang w:eastAsia="el-GR"/>
              </w:rPr>
              <w:t>Μακεδονία</w:t>
            </w: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Μεγάλες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1,64</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5,56</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2,31</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7,37</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2,37</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7,47</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1,68</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5,2</w:t>
            </w:r>
          </w:p>
        </w:tc>
      </w:tr>
      <w:tr w:rsidR="00A30E73" w:rsidRPr="00090D83" w:rsidTr="005606DE">
        <w:trPr>
          <w:trHeight w:val="300"/>
        </w:trPr>
        <w:tc>
          <w:tcPr>
            <w:cnfStyle w:val="001000000000"/>
            <w:tcW w:w="851" w:type="dxa"/>
            <w:vMerge/>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20</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4,11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13,89</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5,97</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19,03</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6,06</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19,09</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6,22</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19,3</w:t>
            </w:r>
          </w:p>
        </w:tc>
      </w:tr>
      <w:tr w:rsidR="00A30E73" w:rsidRPr="00090D83" w:rsidTr="005606DE">
        <w:trPr>
          <w:cnfStyle w:val="000000100000"/>
          <w:trHeight w:val="489"/>
        </w:trPr>
        <w:tc>
          <w:tcPr>
            <w:cnfStyle w:val="001000000000"/>
            <w:tcW w:w="851" w:type="dxa"/>
            <w:vMerge/>
            <w:tcBorders>
              <w:left w:val="none" w:sz="0" w:space="0" w:color="auto"/>
              <w:right w:val="none" w:sz="0" w:space="0" w:color="auto"/>
            </w:tcBorders>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116</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23,82</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80,56</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23,08</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73,6</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23,3</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73,44</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24,29</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75,5</w:t>
            </w:r>
          </w:p>
        </w:tc>
      </w:tr>
      <w:tr w:rsidR="00A30E73" w:rsidRPr="00090D83" w:rsidTr="005606DE">
        <w:trPr>
          <w:trHeight w:val="300"/>
        </w:trPr>
        <w:tc>
          <w:tcPr>
            <w:cnfStyle w:val="001000000000"/>
            <w:tcW w:w="851" w:type="dxa"/>
            <w:vMerge w:val="restart"/>
            <w:shd w:val="clear" w:color="auto" w:fill="FFFFFF" w:themeFill="background1"/>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sidRPr="00A30E73">
              <w:rPr>
                <w:rFonts w:ascii="Arial" w:eastAsia="Times New Roman" w:hAnsi="Arial" w:cs="Arial"/>
                <w:color w:val="000000"/>
                <w:sz w:val="17"/>
                <w:szCs w:val="17"/>
                <w:lang w:eastAsia="el-GR"/>
              </w:rPr>
              <w:t>Κρήτη</w:t>
            </w: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8,33</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10,41</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0,23</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10,03</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0,24</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10,7</w:t>
            </w:r>
          </w:p>
        </w:tc>
      </w:tr>
      <w:tr w:rsidR="00A30E73" w:rsidRPr="00090D83" w:rsidTr="005606DE">
        <w:trPr>
          <w:cnfStyle w:val="000000100000"/>
          <w:trHeight w:val="542"/>
        </w:trPr>
        <w:tc>
          <w:tcPr>
            <w:cnfStyle w:val="001000000000"/>
            <w:tcW w:w="851" w:type="dxa"/>
            <w:vMerge/>
            <w:tcBorders>
              <w:left w:val="none" w:sz="0" w:space="0" w:color="auto"/>
              <w:right w:val="none" w:sz="0" w:space="0" w:color="auto"/>
            </w:tcBorders>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11</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2,26</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91,67</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2,03</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89,59</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2,03</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89,97</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1,99</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89,3</w:t>
            </w:r>
          </w:p>
        </w:tc>
      </w:tr>
      <w:tr w:rsidR="00A30E73" w:rsidRPr="00090D83" w:rsidTr="005606DE">
        <w:trPr>
          <w:trHeight w:val="300"/>
        </w:trPr>
        <w:tc>
          <w:tcPr>
            <w:cnfStyle w:val="001000000000"/>
            <w:tcW w:w="851" w:type="dxa"/>
            <w:vMerge w:val="restart"/>
            <w:shd w:val="clear" w:color="auto" w:fill="BFBFBF" w:themeFill="background1" w:themeFillShade="BF"/>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proofErr w:type="spellStart"/>
            <w:r>
              <w:rPr>
                <w:rFonts w:ascii="Arial" w:eastAsia="Times New Roman" w:hAnsi="Arial" w:cs="Arial"/>
                <w:color w:val="000000"/>
                <w:sz w:val="17"/>
                <w:szCs w:val="17"/>
                <w:lang w:eastAsia="el-GR"/>
              </w:rPr>
              <w:t>Πελ</w:t>
            </w:r>
            <w:proofErr w:type="spellEnd"/>
            <w:r>
              <w:rPr>
                <w:rFonts w:ascii="Arial" w:eastAsia="Times New Roman" w:hAnsi="Arial" w:cs="Arial"/>
                <w:color w:val="000000"/>
                <w:sz w:val="17"/>
                <w:szCs w:val="17"/>
                <w:lang w:eastAsia="el-GR"/>
              </w:rPr>
              <w:t>/</w:t>
            </w:r>
            <w:proofErr w:type="spellStart"/>
            <w:r>
              <w:rPr>
                <w:rFonts w:ascii="Arial" w:eastAsia="Times New Roman" w:hAnsi="Arial" w:cs="Arial"/>
                <w:color w:val="000000"/>
                <w:sz w:val="17"/>
                <w:szCs w:val="17"/>
                <w:lang w:eastAsia="el-GR"/>
              </w:rPr>
              <w:t>ν</w:t>
            </w:r>
            <w:r w:rsidRPr="00A30E73">
              <w:rPr>
                <w:rFonts w:ascii="Arial" w:eastAsia="Times New Roman" w:hAnsi="Arial" w:cs="Arial"/>
                <w:color w:val="000000"/>
                <w:sz w:val="17"/>
                <w:szCs w:val="17"/>
                <w:lang w:eastAsia="el-GR"/>
              </w:rPr>
              <w:t>ησος</w:t>
            </w:r>
            <w:proofErr w:type="spellEnd"/>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0,21</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11,11</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0,35</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17,66</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0,28</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14,18</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0,29</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15,3</w:t>
            </w:r>
          </w:p>
        </w:tc>
      </w:tr>
      <w:tr w:rsidR="00A30E73" w:rsidRPr="00090D83" w:rsidTr="005606DE">
        <w:trPr>
          <w:cnfStyle w:val="000000100000"/>
          <w:trHeight w:val="300"/>
        </w:trPr>
        <w:tc>
          <w:tcPr>
            <w:cnfStyle w:val="001000000000"/>
            <w:tcW w:w="851" w:type="dxa"/>
            <w:vMerge/>
            <w:tcBorders>
              <w:left w:val="none" w:sz="0" w:space="0" w:color="auto"/>
              <w:right w:val="none" w:sz="0" w:space="0" w:color="auto"/>
            </w:tcBorders>
            <w:shd w:val="clear" w:color="auto" w:fill="BFBFBF" w:themeFill="background1" w:themeFillShade="BF"/>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1,64</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88,89</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1,65</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82,34</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1,67</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85,82</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1,62</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84,7</w:t>
            </w:r>
          </w:p>
        </w:tc>
      </w:tr>
      <w:tr w:rsidR="00A30E73" w:rsidRPr="00090D83" w:rsidTr="005606DE">
        <w:trPr>
          <w:trHeight w:val="300"/>
        </w:trPr>
        <w:tc>
          <w:tcPr>
            <w:cnfStyle w:val="001000000000"/>
            <w:tcW w:w="851" w:type="dxa"/>
            <w:vMerge w:val="restart"/>
            <w:shd w:val="clear" w:color="auto" w:fill="FFFFFF" w:themeFill="background1"/>
            <w:noWrap/>
            <w:textDirection w:val="btLr"/>
            <w:vAlign w:val="center"/>
            <w:hideMark/>
          </w:tcPr>
          <w:p w:rsidR="00090D83" w:rsidRPr="00A30E73" w:rsidRDefault="00A30E73" w:rsidP="00090D83">
            <w:pPr>
              <w:spacing w:before="40" w:after="40"/>
              <w:ind w:left="113" w:right="113"/>
              <w:contextualSpacing/>
              <w:jc w:val="center"/>
              <w:rPr>
                <w:rFonts w:ascii="Arial" w:eastAsia="Times New Roman" w:hAnsi="Arial" w:cs="Arial"/>
                <w:color w:val="000000"/>
                <w:sz w:val="17"/>
                <w:szCs w:val="17"/>
                <w:lang w:eastAsia="el-GR"/>
              </w:rPr>
            </w:pPr>
            <w:r w:rsidRPr="00A30E73">
              <w:rPr>
                <w:rFonts w:ascii="Arial" w:eastAsia="Times New Roman" w:hAnsi="Arial" w:cs="Arial"/>
                <w:color w:val="000000"/>
                <w:sz w:val="17"/>
                <w:szCs w:val="17"/>
                <w:lang w:eastAsia="el-GR"/>
              </w:rPr>
              <w:t>Στερεά Ελλάδα</w:t>
            </w: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Μεγάλες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0,82</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19,05</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1,34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26,67</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1,37</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26,67</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0,95</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19,2</w:t>
            </w:r>
          </w:p>
        </w:tc>
      </w:tr>
      <w:tr w:rsidR="00A30E73" w:rsidRPr="00090D83" w:rsidTr="005606DE">
        <w:trPr>
          <w:cnfStyle w:val="000000100000"/>
          <w:trHeight w:val="300"/>
        </w:trPr>
        <w:tc>
          <w:tcPr>
            <w:cnfStyle w:val="001000000000"/>
            <w:tcW w:w="851" w:type="dxa"/>
            <w:vMerge/>
            <w:tcBorders>
              <w:left w:val="none" w:sz="0" w:space="0" w:color="auto"/>
              <w:right w:val="none" w:sz="0" w:space="0" w:color="auto"/>
            </w:tcBorders>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Μεσαίες</w:t>
            </w:r>
          </w:p>
        </w:tc>
        <w:tc>
          <w:tcPr>
            <w:tcW w:w="567"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9</w:t>
            </w:r>
          </w:p>
        </w:tc>
        <w:tc>
          <w:tcPr>
            <w:tcW w:w="708"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1,85</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42,86</w:t>
            </w:r>
          </w:p>
        </w:tc>
        <w:tc>
          <w:tcPr>
            <w:tcW w:w="992"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2,05</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40,74</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2,09</w:t>
            </w:r>
          </w:p>
        </w:tc>
        <w:tc>
          <w:tcPr>
            <w:tcW w:w="851"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40,82</w:t>
            </w:r>
          </w:p>
        </w:tc>
        <w:tc>
          <w:tcPr>
            <w:tcW w:w="850" w:type="dxa"/>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2,24</w:t>
            </w:r>
          </w:p>
        </w:tc>
        <w:tc>
          <w:tcPr>
            <w:tcW w:w="832" w:type="dxa"/>
            <w:gridSpan w:val="2"/>
            <w:tcBorders>
              <w:left w:val="none" w:sz="0" w:space="0" w:color="auto"/>
              <w:right w:val="none" w:sz="0" w:space="0" w:color="auto"/>
            </w:tcBorders>
            <w:shd w:val="clear" w:color="auto" w:fill="BFBFBF" w:themeFill="background1" w:themeFillShade="BF"/>
            <w:noWrap/>
            <w:vAlign w:val="center"/>
            <w:hideMark/>
          </w:tcPr>
          <w:p w:rsidR="00090D83" w:rsidRPr="00090D83" w:rsidRDefault="00090D83" w:rsidP="00090D83">
            <w:pPr>
              <w:spacing w:before="40" w:after="40"/>
              <w:contextualSpacing/>
              <w:jc w:val="center"/>
              <w:cnfStyle w:val="0000001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45,1</w:t>
            </w:r>
          </w:p>
        </w:tc>
      </w:tr>
      <w:tr w:rsidR="00A30E73" w:rsidRPr="00090D83" w:rsidTr="005606DE">
        <w:trPr>
          <w:trHeight w:val="300"/>
        </w:trPr>
        <w:tc>
          <w:tcPr>
            <w:cnfStyle w:val="001000000000"/>
            <w:tcW w:w="851" w:type="dxa"/>
            <w:vMerge/>
            <w:shd w:val="clear" w:color="auto" w:fill="FFFFFF" w:themeFill="background1"/>
            <w:textDirection w:val="btLr"/>
            <w:vAlign w:val="center"/>
            <w:hideMark/>
          </w:tcPr>
          <w:p w:rsidR="00090D83" w:rsidRPr="00A30E73" w:rsidRDefault="00090D83" w:rsidP="00090D83">
            <w:pPr>
              <w:spacing w:before="40" w:after="40"/>
              <w:ind w:left="113" w:right="113"/>
              <w:contextualSpacing/>
              <w:jc w:val="center"/>
              <w:rPr>
                <w:rFonts w:ascii="Arial" w:eastAsia="Times New Roman" w:hAnsi="Arial" w:cs="Arial"/>
                <w:color w:val="000000"/>
                <w:sz w:val="17"/>
                <w:szCs w:val="17"/>
                <w:lang w:eastAsia="el-GR"/>
              </w:rPr>
            </w:pPr>
          </w:p>
        </w:tc>
        <w:tc>
          <w:tcPr>
            <w:tcW w:w="141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b/>
                <w:bCs/>
                <w:color w:val="000000"/>
                <w:sz w:val="18"/>
                <w:szCs w:val="18"/>
                <w:lang w:eastAsia="el-GR"/>
              </w:rPr>
            </w:pPr>
            <w:r w:rsidRPr="00090D83">
              <w:rPr>
                <w:rFonts w:ascii="Arial" w:eastAsia="Times New Roman" w:hAnsi="Arial" w:cs="Arial"/>
                <w:b/>
                <w:bCs/>
                <w:color w:val="000000"/>
                <w:sz w:val="18"/>
                <w:szCs w:val="18"/>
                <w:lang w:eastAsia="el-GR"/>
              </w:rPr>
              <w:t>Μικρές και Πολύ Μικρές</w:t>
            </w:r>
          </w:p>
        </w:tc>
        <w:tc>
          <w:tcPr>
            <w:tcW w:w="567"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8</w:t>
            </w:r>
          </w:p>
        </w:tc>
        <w:tc>
          <w:tcPr>
            <w:tcW w:w="708"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38,1</w:t>
            </w:r>
          </w:p>
        </w:tc>
        <w:tc>
          <w:tcPr>
            <w:tcW w:w="992"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1,64</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32,59</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1,67</w:t>
            </w:r>
          </w:p>
        </w:tc>
        <w:tc>
          <w:tcPr>
            <w:tcW w:w="851"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32,52</w:t>
            </w:r>
          </w:p>
        </w:tc>
        <w:tc>
          <w:tcPr>
            <w:tcW w:w="850" w:type="dxa"/>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1,77</w:t>
            </w:r>
          </w:p>
        </w:tc>
        <w:tc>
          <w:tcPr>
            <w:tcW w:w="832" w:type="dxa"/>
            <w:gridSpan w:val="2"/>
            <w:shd w:val="clear" w:color="auto" w:fill="FFFFFF" w:themeFill="background1"/>
            <w:noWrap/>
            <w:vAlign w:val="center"/>
            <w:hideMark/>
          </w:tcPr>
          <w:p w:rsidR="00090D83" w:rsidRPr="00090D83" w:rsidRDefault="00090D83" w:rsidP="00090D83">
            <w:pPr>
              <w:spacing w:before="40" w:after="40"/>
              <w:contextualSpacing/>
              <w:jc w:val="center"/>
              <w:cnfStyle w:val="000000000000"/>
              <w:rPr>
                <w:rFonts w:ascii="Arial" w:eastAsia="Times New Roman" w:hAnsi="Arial" w:cs="Arial"/>
                <w:color w:val="000000"/>
                <w:sz w:val="18"/>
                <w:szCs w:val="18"/>
                <w:lang w:eastAsia="el-GR"/>
              </w:rPr>
            </w:pPr>
            <w:r w:rsidRPr="00090D83">
              <w:rPr>
                <w:rFonts w:ascii="Arial" w:eastAsia="Times New Roman" w:hAnsi="Arial" w:cs="Arial"/>
                <w:color w:val="000000"/>
                <w:sz w:val="18"/>
                <w:szCs w:val="18"/>
                <w:lang w:eastAsia="el-GR"/>
              </w:rPr>
              <w:t>35,7</w:t>
            </w:r>
          </w:p>
        </w:tc>
      </w:tr>
    </w:tbl>
    <w:p w:rsidR="00122BDD" w:rsidRPr="00A13A2C" w:rsidRDefault="00824980" w:rsidP="00A13A2C">
      <w:pPr>
        <w:pStyle w:val="1"/>
        <w:numPr>
          <w:ilvl w:val="0"/>
          <w:numId w:val="14"/>
        </w:numPr>
        <w:rPr>
          <w:rFonts w:ascii="Arial" w:hAnsi="Arial" w:cs="Arial"/>
          <w:color w:val="auto"/>
          <w:sz w:val="24"/>
          <w:szCs w:val="24"/>
        </w:rPr>
      </w:pPr>
      <w:bookmarkStart w:id="35" w:name="_Toc498003149"/>
      <w:bookmarkStart w:id="36" w:name="_Toc498075046"/>
      <w:bookmarkStart w:id="37" w:name="_Toc498076229"/>
      <w:bookmarkStart w:id="38" w:name="_Toc498076443"/>
      <w:bookmarkStart w:id="39" w:name="_Toc498076511"/>
      <w:r w:rsidRPr="00A13A2C">
        <w:rPr>
          <w:rFonts w:ascii="Arial" w:hAnsi="Arial" w:cs="Arial"/>
          <w:color w:val="auto"/>
          <w:sz w:val="24"/>
          <w:szCs w:val="24"/>
        </w:rPr>
        <w:t>Διοικητική</w:t>
      </w:r>
      <w:r w:rsidR="00122BDD" w:rsidRPr="00A13A2C">
        <w:rPr>
          <w:rFonts w:ascii="Arial" w:hAnsi="Arial" w:cs="Arial"/>
          <w:color w:val="auto"/>
          <w:sz w:val="24"/>
          <w:szCs w:val="24"/>
        </w:rPr>
        <w:t xml:space="preserve"> </w:t>
      </w:r>
      <w:r w:rsidR="006563C7" w:rsidRPr="00A13A2C">
        <w:rPr>
          <w:rFonts w:ascii="Arial" w:hAnsi="Arial" w:cs="Arial"/>
          <w:color w:val="auto"/>
          <w:sz w:val="24"/>
          <w:szCs w:val="24"/>
        </w:rPr>
        <w:t xml:space="preserve">διαδικασία </w:t>
      </w:r>
      <w:r w:rsidR="00122BDD" w:rsidRPr="00A13A2C">
        <w:rPr>
          <w:rFonts w:ascii="Arial" w:hAnsi="Arial" w:cs="Arial"/>
          <w:color w:val="auto"/>
          <w:sz w:val="24"/>
          <w:szCs w:val="24"/>
        </w:rPr>
        <w:t>παρακολούθηση</w:t>
      </w:r>
      <w:r w:rsidR="006563C7" w:rsidRPr="00A13A2C">
        <w:rPr>
          <w:rFonts w:ascii="Arial" w:hAnsi="Arial" w:cs="Arial"/>
          <w:color w:val="auto"/>
          <w:sz w:val="24"/>
          <w:szCs w:val="24"/>
        </w:rPr>
        <w:t>ς</w:t>
      </w:r>
      <w:r w:rsidR="00122BDD" w:rsidRPr="00A13A2C">
        <w:rPr>
          <w:rFonts w:ascii="Arial" w:hAnsi="Arial" w:cs="Arial"/>
          <w:color w:val="auto"/>
          <w:sz w:val="24"/>
          <w:szCs w:val="24"/>
        </w:rPr>
        <w:t xml:space="preserve"> του προγράμματος</w:t>
      </w:r>
      <w:bookmarkEnd w:id="35"/>
      <w:bookmarkEnd w:id="36"/>
      <w:bookmarkEnd w:id="37"/>
      <w:bookmarkEnd w:id="38"/>
      <w:bookmarkEnd w:id="39"/>
      <w:r w:rsidR="00122BDD" w:rsidRPr="00A13A2C">
        <w:rPr>
          <w:rFonts w:ascii="Arial" w:hAnsi="Arial" w:cs="Arial"/>
          <w:color w:val="auto"/>
          <w:sz w:val="24"/>
          <w:szCs w:val="24"/>
        </w:rPr>
        <w:t xml:space="preserve"> </w:t>
      </w:r>
    </w:p>
    <w:p w:rsidR="00D17638" w:rsidRDefault="00D17638" w:rsidP="002E2D9B">
      <w:pPr>
        <w:ind w:firstLine="426"/>
        <w:jc w:val="both"/>
        <w:rPr>
          <w:rFonts w:ascii="Arial" w:hAnsi="Arial" w:cs="Arial"/>
        </w:rPr>
      </w:pPr>
    </w:p>
    <w:p w:rsidR="00E37102" w:rsidRDefault="00E37102" w:rsidP="002E2D9B">
      <w:pPr>
        <w:ind w:firstLine="426"/>
        <w:jc w:val="both"/>
        <w:rPr>
          <w:rFonts w:ascii="Arial" w:hAnsi="Arial" w:cs="Arial"/>
        </w:rPr>
      </w:pPr>
      <w:r w:rsidRPr="002F5DE5">
        <w:rPr>
          <w:rFonts w:ascii="Arial" w:hAnsi="Arial" w:cs="Arial"/>
          <w:highlight w:val="cyan"/>
        </w:rPr>
        <w:t>Τη διοικητική παρακολούθηση του προγράμματος ανέλαβε η Διεύθυνση Στήριξης Μικρομεσαίων Επιχειρήσεων της ΓΓΒ με εισηγήσεις της οποίας εκδόθηκαν οι υπουργικές αποφάσεις συγκρότησης της Επιτροπής Αξιολόγησης και της Επιτροπής Παρακολούθησης και Παραλαβής Έργου. Ο</w:t>
      </w:r>
      <w:r w:rsidR="00EF0A06" w:rsidRPr="002F5DE5">
        <w:rPr>
          <w:rFonts w:ascii="Arial" w:hAnsi="Arial" w:cs="Arial"/>
          <w:highlight w:val="cyan"/>
        </w:rPr>
        <w:t>ι</w:t>
      </w:r>
      <w:r w:rsidRPr="002F5DE5">
        <w:rPr>
          <w:rFonts w:ascii="Arial" w:hAnsi="Arial" w:cs="Arial"/>
          <w:highlight w:val="cyan"/>
        </w:rPr>
        <w:t xml:space="preserve"> εν λόγω επιτροπές </w:t>
      </w:r>
      <w:r w:rsidR="00EF0A06" w:rsidRPr="002F5DE5">
        <w:rPr>
          <w:rFonts w:ascii="Arial" w:hAnsi="Arial" w:cs="Arial"/>
          <w:highlight w:val="cyan"/>
        </w:rPr>
        <w:t xml:space="preserve">με ευθύνη των προέδρων τους που προέρχονταν από τη ΓΓΒ </w:t>
      </w:r>
      <w:r w:rsidRPr="002F5DE5">
        <w:rPr>
          <w:rFonts w:ascii="Arial" w:hAnsi="Arial" w:cs="Arial"/>
          <w:highlight w:val="cyan"/>
        </w:rPr>
        <w:t xml:space="preserve">ανέλαβαν την εξέταση των θεμάτων αρμοδιότητάς τους μετά από τις σχετικές εισηγήσεις </w:t>
      </w:r>
      <w:r w:rsidR="00EF0A06" w:rsidRPr="002F5DE5">
        <w:rPr>
          <w:rFonts w:ascii="Arial" w:hAnsi="Arial" w:cs="Arial"/>
          <w:highlight w:val="cyan"/>
        </w:rPr>
        <w:t xml:space="preserve">του Ενδιάμεσου Φορέα Διαχείρισης Επιχειρησιακού Προγράμματος Ανταγωνιστικότητα Επιχειρηματικότητα (ΕΦΕΠΑΕ) </w:t>
      </w:r>
      <w:r w:rsidRPr="002F5DE5">
        <w:rPr>
          <w:rFonts w:ascii="Arial" w:hAnsi="Arial" w:cs="Arial"/>
          <w:highlight w:val="cyan"/>
        </w:rPr>
        <w:t>ανά επενδυτικό έργο και την προώθηση</w:t>
      </w:r>
      <w:r w:rsidR="00EF0A06" w:rsidRPr="002F5DE5">
        <w:rPr>
          <w:rFonts w:ascii="Arial" w:hAnsi="Arial" w:cs="Arial"/>
          <w:highlight w:val="cyan"/>
        </w:rPr>
        <w:t>, τη σύνταξη των πρακτικών ανά συνεδρίαση και την προώθησή τους προς την αρμόδια για τη διοικητική παρακολούθηση του προγράμματος Διεύθυνση Στήριξης Μικρομεσαίων Επιχειρήσεων. Η τελευταία μετά τη διενέργεια των απαιτούμενων ελέγχων επί των θεμάτων που περικλείονταν στο εκάστοτε πρακτικό, είχε την αρμοδιότητα σύνταξης των σχεδίων των αντίστοιχων αποφάσεων αποδοχής των πρακτικών της Επιτροπής Παρακολούθησης και την προώθησή τους για υπογραφή από το εκάστοτε αρμόδιο όργανο της πολιτικής ηγεσίας του Υπουργείου.</w:t>
      </w:r>
      <w:r w:rsidR="00EF0A06">
        <w:rPr>
          <w:rFonts w:ascii="Arial" w:hAnsi="Arial" w:cs="Arial"/>
        </w:rPr>
        <w:t xml:space="preserve">    </w:t>
      </w:r>
      <w:r>
        <w:rPr>
          <w:rFonts w:ascii="Arial" w:hAnsi="Arial" w:cs="Arial"/>
        </w:rPr>
        <w:t xml:space="preserve"> </w:t>
      </w:r>
    </w:p>
    <w:p w:rsidR="00EF0A06" w:rsidRPr="002F5DE5" w:rsidRDefault="00E37102" w:rsidP="002E2D9B">
      <w:pPr>
        <w:ind w:firstLine="426"/>
        <w:jc w:val="both"/>
        <w:rPr>
          <w:rFonts w:ascii="Arial" w:hAnsi="Arial" w:cs="Arial"/>
          <w:highlight w:val="cyan"/>
        </w:rPr>
      </w:pPr>
      <w:r w:rsidRPr="002F5DE5">
        <w:rPr>
          <w:rFonts w:ascii="Arial" w:hAnsi="Arial" w:cs="Arial"/>
          <w:highlight w:val="cyan"/>
        </w:rPr>
        <w:t xml:space="preserve">Η διαχείριση του προγράμματος ανατέθηκε στον ΕΦΕΠΑΕ </w:t>
      </w:r>
      <w:r w:rsidR="00EF0A06" w:rsidRPr="002F5DE5">
        <w:rPr>
          <w:rFonts w:ascii="Arial" w:hAnsi="Arial" w:cs="Arial"/>
          <w:highlight w:val="cyan"/>
        </w:rPr>
        <w:t xml:space="preserve">στο πλαίσιο της </w:t>
      </w:r>
      <w:r w:rsidRPr="002F5DE5">
        <w:rPr>
          <w:rFonts w:ascii="Arial" w:hAnsi="Arial" w:cs="Arial"/>
          <w:highlight w:val="cyan"/>
        </w:rPr>
        <w:t>σύμβαση</w:t>
      </w:r>
      <w:r w:rsidR="00EF0A06" w:rsidRPr="002F5DE5">
        <w:rPr>
          <w:rFonts w:ascii="Arial" w:hAnsi="Arial" w:cs="Arial"/>
          <w:highlight w:val="cyan"/>
        </w:rPr>
        <w:t>ς</w:t>
      </w:r>
      <w:r w:rsidRPr="002F5DE5">
        <w:rPr>
          <w:rFonts w:ascii="Arial" w:hAnsi="Arial" w:cs="Arial"/>
          <w:highlight w:val="cyan"/>
        </w:rPr>
        <w:t xml:space="preserve"> που είχε συνάψει με την ΕΥΔ </w:t>
      </w:r>
      <w:proofErr w:type="spellStart"/>
      <w:r w:rsidRPr="002F5DE5">
        <w:rPr>
          <w:rFonts w:ascii="Arial" w:hAnsi="Arial" w:cs="Arial"/>
          <w:highlight w:val="cyan"/>
        </w:rPr>
        <w:t>ΕΠΑνΕΚ</w:t>
      </w:r>
      <w:proofErr w:type="spellEnd"/>
      <w:r w:rsidRPr="002F5DE5">
        <w:rPr>
          <w:rFonts w:ascii="Arial" w:hAnsi="Arial" w:cs="Arial"/>
          <w:highlight w:val="cyan"/>
        </w:rPr>
        <w:t xml:space="preserve"> προκειμένου </w:t>
      </w:r>
      <w:r w:rsidR="00EF0A06" w:rsidRPr="002F5DE5">
        <w:rPr>
          <w:rFonts w:ascii="Arial" w:hAnsi="Arial" w:cs="Arial"/>
          <w:highlight w:val="cyan"/>
        </w:rPr>
        <w:t>(</w:t>
      </w:r>
      <w:r w:rsidRPr="002F5DE5">
        <w:rPr>
          <w:rFonts w:ascii="Arial" w:hAnsi="Arial" w:cs="Arial"/>
          <w:highlight w:val="cyan"/>
        </w:rPr>
        <w:t>ο ΕΦΕΠΑΕ</w:t>
      </w:r>
      <w:r w:rsidR="00EF0A06" w:rsidRPr="002F5DE5">
        <w:rPr>
          <w:rFonts w:ascii="Arial" w:hAnsi="Arial" w:cs="Arial"/>
          <w:highlight w:val="cyan"/>
        </w:rPr>
        <w:t>)</w:t>
      </w:r>
      <w:r w:rsidRPr="002F5DE5">
        <w:rPr>
          <w:rFonts w:ascii="Arial" w:hAnsi="Arial" w:cs="Arial"/>
          <w:highlight w:val="cyan"/>
        </w:rPr>
        <w:t xml:space="preserve"> να αναλάβει </w:t>
      </w:r>
      <w:r w:rsidR="00EF0A06" w:rsidRPr="002F5DE5">
        <w:rPr>
          <w:rFonts w:ascii="Arial" w:hAnsi="Arial" w:cs="Arial"/>
          <w:highlight w:val="cyan"/>
        </w:rPr>
        <w:t xml:space="preserve">τις παρακάτω διαχειριστικές </w:t>
      </w:r>
      <w:r w:rsidRPr="002F5DE5">
        <w:rPr>
          <w:rFonts w:ascii="Arial" w:hAnsi="Arial" w:cs="Arial"/>
          <w:highlight w:val="cyan"/>
        </w:rPr>
        <w:t>αρμοδιότητες</w:t>
      </w:r>
      <w:r w:rsidR="00EF0A06" w:rsidRPr="002F5DE5">
        <w:rPr>
          <w:rFonts w:ascii="Arial" w:hAnsi="Arial" w:cs="Arial"/>
          <w:highlight w:val="cyan"/>
        </w:rPr>
        <w:t>:</w:t>
      </w:r>
    </w:p>
    <w:p w:rsidR="00EF0A06" w:rsidRPr="002F5DE5" w:rsidRDefault="00E37102" w:rsidP="00EF0A06">
      <w:pPr>
        <w:pStyle w:val="a3"/>
        <w:numPr>
          <w:ilvl w:val="0"/>
          <w:numId w:val="12"/>
        </w:numPr>
        <w:jc w:val="both"/>
        <w:rPr>
          <w:rFonts w:ascii="Arial" w:hAnsi="Arial" w:cs="Arial"/>
          <w:highlight w:val="cyan"/>
        </w:rPr>
      </w:pPr>
      <w:r w:rsidRPr="002F5DE5">
        <w:rPr>
          <w:rFonts w:ascii="Arial" w:hAnsi="Arial" w:cs="Arial"/>
          <w:highlight w:val="cyan"/>
        </w:rPr>
        <w:t xml:space="preserve">οι διαδικασίες διοικητικών και επιτόπιων επαληθεύσεων φυσικού και οικονομικού αντικειμένου των επενδυτικών έργων, </w:t>
      </w:r>
    </w:p>
    <w:p w:rsidR="00EF0A06" w:rsidRPr="002F5DE5" w:rsidRDefault="00EF0A06" w:rsidP="00EF0A06">
      <w:pPr>
        <w:pStyle w:val="a3"/>
        <w:numPr>
          <w:ilvl w:val="0"/>
          <w:numId w:val="12"/>
        </w:numPr>
        <w:jc w:val="both"/>
        <w:rPr>
          <w:rFonts w:ascii="Arial" w:hAnsi="Arial" w:cs="Arial"/>
          <w:highlight w:val="cyan"/>
        </w:rPr>
      </w:pPr>
      <w:r w:rsidRPr="002F5DE5">
        <w:rPr>
          <w:rFonts w:ascii="Arial" w:hAnsi="Arial" w:cs="Arial"/>
          <w:highlight w:val="cyan"/>
        </w:rPr>
        <w:t>η λογιστική παρακολούθηση,</w:t>
      </w:r>
    </w:p>
    <w:p w:rsidR="00EF0A06" w:rsidRPr="002F5DE5" w:rsidRDefault="00E37102" w:rsidP="00EF0A06">
      <w:pPr>
        <w:pStyle w:val="a3"/>
        <w:numPr>
          <w:ilvl w:val="0"/>
          <w:numId w:val="12"/>
        </w:numPr>
        <w:jc w:val="both"/>
        <w:rPr>
          <w:rFonts w:ascii="Arial" w:hAnsi="Arial" w:cs="Arial"/>
          <w:highlight w:val="cyan"/>
        </w:rPr>
      </w:pPr>
      <w:r w:rsidRPr="002F5DE5">
        <w:rPr>
          <w:rFonts w:ascii="Arial" w:hAnsi="Arial" w:cs="Arial"/>
          <w:highlight w:val="cyan"/>
        </w:rPr>
        <w:t>οι πληρωμές προς τους δικαιούχους</w:t>
      </w:r>
      <w:r w:rsidR="00EF0A06" w:rsidRPr="002F5DE5">
        <w:rPr>
          <w:rFonts w:ascii="Arial" w:hAnsi="Arial" w:cs="Arial"/>
          <w:highlight w:val="cyan"/>
        </w:rPr>
        <w:t xml:space="preserve"> (προκαταβολές, εγγυητικές επιστολές, έκδοση εντολών πληρωμής)</w:t>
      </w:r>
      <w:r w:rsidRPr="002F5DE5">
        <w:rPr>
          <w:rFonts w:ascii="Arial" w:hAnsi="Arial" w:cs="Arial"/>
          <w:highlight w:val="cyan"/>
        </w:rPr>
        <w:t xml:space="preserve">, </w:t>
      </w:r>
    </w:p>
    <w:p w:rsidR="00EF0A06" w:rsidRPr="002F5DE5" w:rsidRDefault="00E37102" w:rsidP="00EF0A06">
      <w:pPr>
        <w:pStyle w:val="a3"/>
        <w:numPr>
          <w:ilvl w:val="0"/>
          <w:numId w:val="12"/>
        </w:numPr>
        <w:jc w:val="both"/>
        <w:rPr>
          <w:rFonts w:ascii="Arial" w:hAnsi="Arial" w:cs="Arial"/>
          <w:highlight w:val="cyan"/>
        </w:rPr>
      </w:pPr>
      <w:r w:rsidRPr="002F5DE5">
        <w:rPr>
          <w:rFonts w:ascii="Arial" w:hAnsi="Arial" w:cs="Arial"/>
          <w:highlight w:val="cyan"/>
        </w:rPr>
        <w:t xml:space="preserve">η καταχώρηση των στοιχείων στο Πληροφοριακό Σύστημα Κρατικών Ενισχύσεων (ΠΣΚΕ), </w:t>
      </w:r>
    </w:p>
    <w:p w:rsidR="00E37102" w:rsidRPr="002F5DE5" w:rsidRDefault="00E37102" w:rsidP="00EF0A06">
      <w:pPr>
        <w:pStyle w:val="a3"/>
        <w:numPr>
          <w:ilvl w:val="0"/>
          <w:numId w:val="12"/>
        </w:numPr>
        <w:jc w:val="both"/>
        <w:rPr>
          <w:rFonts w:ascii="Arial" w:hAnsi="Arial" w:cs="Arial"/>
          <w:highlight w:val="yellow"/>
        </w:rPr>
      </w:pPr>
      <w:r w:rsidRPr="002F5DE5">
        <w:rPr>
          <w:rFonts w:ascii="Arial" w:hAnsi="Arial" w:cs="Arial"/>
          <w:highlight w:val="cyan"/>
        </w:rPr>
        <w:t xml:space="preserve">η εξέταση θεμάτων </w:t>
      </w:r>
      <w:r w:rsidRPr="002F5DE5">
        <w:rPr>
          <w:rFonts w:ascii="Arial" w:hAnsi="Arial" w:cs="Arial"/>
          <w:highlight w:val="yellow"/>
        </w:rPr>
        <w:t>ήσσονος σημασίας</w:t>
      </w:r>
      <w:r w:rsidR="006563C7" w:rsidRPr="002F5DE5">
        <w:rPr>
          <w:rFonts w:ascii="Arial" w:hAnsi="Arial" w:cs="Arial"/>
          <w:highlight w:val="yellow"/>
        </w:rPr>
        <w:t>, όπως αιτήματα παρατάσεων, αλλαγή νόμιμου εκπροσώπου, αλλαγή μετοχικής σύνθεσης, αλλαγές προμηθευτών, αλλαγή επωνυμίας επιχείρησης κλπ)</w:t>
      </w:r>
      <w:r w:rsidRPr="002F5DE5">
        <w:rPr>
          <w:rFonts w:ascii="Arial" w:hAnsi="Arial" w:cs="Arial"/>
          <w:highlight w:val="yellow"/>
        </w:rPr>
        <w:t xml:space="preserve"> σύμφωνα με τα καθοριζόμενα στο</w:t>
      </w:r>
      <w:r w:rsidR="00EF0A06" w:rsidRPr="002F5DE5">
        <w:rPr>
          <w:rFonts w:ascii="Arial" w:hAnsi="Arial" w:cs="Arial"/>
          <w:highlight w:val="yellow"/>
        </w:rPr>
        <w:t xml:space="preserve"> Κεφ. 13.8 του Οδηγού Εφαρμογής</w:t>
      </w:r>
      <w:r w:rsidR="006563C7" w:rsidRPr="002F5DE5">
        <w:rPr>
          <w:rFonts w:ascii="Arial" w:hAnsi="Arial" w:cs="Arial"/>
          <w:highlight w:val="yellow"/>
        </w:rPr>
        <w:t xml:space="preserve"> του προγράμματος.</w:t>
      </w:r>
    </w:p>
    <w:p w:rsidR="00E37102" w:rsidRDefault="00E37102" w:rsidP="002E2D9B">
      <w:pPr>
        <w:ind w:firstLine="426"/>
        <w:jc w:val="both"/>
        <w:rPr>
          <w:rFonts w:ascii="Arial" w:hAnsi="Arial" w:cs="Arial"/>
        </w:rPr>
      </w:pPr>
      <w:r w:rsidRPr="002F5DE5">
        <w:rPr>
          <w:rFonts w:ascii="Arial" w:hAnsi="Arial" w:cs="Arial"/>
          <w:highlight w:val="cyan"/>
        </w:rPr>
        <w:t xml:space="preserve">Σε </w:t>
      </w:r>
      <w:proofErr w:type="spellStart"/>
      <w:r w:rsidRPr="002F5DE5">
        <w:rPr>
          <w:rFonts w:ascii="Arial" w:hAnsi="Arial" w:cs="Arial"/>
          <w:highlight w:val="cyan"/>
        </w:rPr>
        <w:t>ό</w:t>
      </w:r>
      <w:r w:rsidR="002F5DE5" w:rsidRPr="002F5DE5">
        <w:rPr>
          <w:rFonts w:ascii="Arial" w:hAnsi="Arial" w:cs="Arial"/>
          <w:highlight w:val="cyan"/>
        </w:rPr>
        <w:t>,</w:t>
      </w:r>
      <w:r w:rsidRPr="002F5DE5">
        <w:rPr>
          <w:rFonts w:ascii="Arial" w:hAnsi="Arial" w:cs="Arial"/>
          <w:highlight w:val="cyan"/>
        </w:rPr>
        <w:t>τι</w:t>
      </w:r>
      <w:proofErr w:type="spellEnd"/>
      <w:r w:rsidRPr="002F5DE5">
        <w:rPr>
          <w:rFonts w:ascii="Arial" w:hAnsi="Arial" w:cs="Arial"/>
          <w:highlight w:val="cyan"/>
        </w:rPr>
        <w:t xml:space="preserve"> αφορά </w:t>
      </w:r>
      <w:r w:rsidR="006563C7" w:rsidRPr="002F5DE5">
        <w:rPr>
          <w:rFonts w:ascii="Arial" w:hAnsi="Arial" w:cs="Arial"/>
          <w:highlight w:val="cyan"/>
        </w:rPr>
        <w:t>τις Επιτροπές Αξιολόγησης και Παρακολούθησης και Παραλαβής του προγράμματος τονίζονται τα ακόλουθα:</w:t>
      </w:r>
    </w:p>
    <w:p w:rsidR="006563C7" w:rsidRDefault="006563C7" w:rsidP="002E2D9B">
      <w:pPr>
        <w:ind w:firstLine="426"/>
        <w:jc w:val="both"/>
        <w:rPr>
          <w:rFonts w:ascii="Arial" w:hAnsi="Arial" w:cs="Arial"/>
        </w:rPr>
      </w:pPr>
    </w:p>
    <w:p w:rsidR="006563C7" w:rsidRDefault="004A1DE1" w:rsidP="004A1DE1">
      <w:pPr>
        <w:pStyle w:val="2"/>
        <w:ind w:firstLine="426"/>
        <w:rPr>
          <w:rFonts w:ascii="Arial" w:hAnsi="Arial" w:cs="Arial"/>
          <w:color w:val="auto"/>
          <w:sz w:val="22"/>
          <w:szCs w:val="22"/>
        </w:rPr>
      </w:pPr>
      <w:bookmarkStart w:id="40" w:name="_Toc498075047"/>
      <w:bookmarkStart w:id="41" w:name="_Toc498076230"/>
      <w:bookmarkStart w:id="42" w:name="_Toc498076444"/>
      <w:bookmarkStart w:id="43" w:name="_Toc498076512"/>
      <w:r>
        <w:rPr>
          <w:rFonts w:ascii="Arial" w:hAnsi="Arial" w:cs="Arial"/>
          <w:color w:val="auto"/>
          <w:sz w:val="22"/>
          <w:szCs w:val="22"/>
        </w:rPr>
        <w:t xml:space="preserve">3.1 </w:t>
      </w:r>
      <w:r w:rsidR="006563C7" w:rsidRPr="006563C7">
        <w:rPr>
          <w:rFonts w:ascii="Arial" w:hAnsi="Arial" w:cs="Arial"/>
          <w:color w:val="auto"/>
          <w:sz w:val="22"/>
          <w:szCs w:val="22"/>
        </w:rPr>
        <w:t>Επιτροπή Αξιολόγησης</w:t>
      </w:r>
      <w:bookmarkEnd w:id="40"/>
      <w:bookmarkEnd w:id="41"/>
      <w:bookmarkEnd w:id="42"/>
      <w:bookmarkEnd w:id="43"/>
    </w:p>
    <w:p w:rsidR="006563C7" w:rsidRPr="006563C7" w:rsidRDefault="006563C7" w:rsidP="006563C7"/>
    <w:p w:rsidR="00122BDD" w:rsidRPr="00CC6141" w:rsidRDefault="00122BDD" w:rsidP="002E2D9B">
      <w:pPr>
        <w:ind w:firstLine="426"/>
        <w:jc w:val="both"/>
        <w:rPr>
          <w:rFonts w:ascii="Arial" w:hAnsi="Arial" w:cs="Arial"/>
        </w:rPr>
      </w:pPr>
      <w:r w:rsidRPr="002F5DE5">
        <w:rPr>
          <w:rFonts w:ascii="Arial" w:hAnsi="Arial" w:cs="Arial"/>
          <w:highlight w:val="cyan"/>
        </w:rPr>
        <w:t xml:space="preserve">Κατά τη διάρκεια της αξιολογικής διαδικασίας η Επιτροπή Αξιολόγησης </w:t>
      </w:r>
      <w:r w:rsidR="00DB0F3E" w:rsidRPr="002F5DE5">
        <w:rPr>
          <w:rFonts w:ascii="Arial" w:hAnsi="Arial" w:cs="Arial"/>
          <w:highlight w:val="cyan"/>
        </w:rPr>
        <w:t>(αποτελούμενη από τρία μέλη της Γενικής Γραμματείας Βιομηχανίας – πρόεδρος και δύο μέλη – και δύο μέλη του ΕΦΕΠΑΕ</w:t>
      </w:r>
      <w:r w:rsidR="00074525" w:rsidRPr="002F5DE5">
        <w:rPr>
          <w:rFonts w:ascii="Arial" w:hAnsi="Arial" w:cs="Arial"/>
          <w:highlight w:val="cyan"/>
        </w:rPr>
        <w:t xml:space="preserve"> με γραμματειακή υποστήριξη από </w:t>
      </w:r>
      <w:proofErr w:type="spellStart"/>
      <w:r w:rsidR="00074525" w:rsidRPr="002F5DE5">
        <w:rPr>
          <w:rFonts w:ascii="Arial" w:hAnsi="Arial" w:cs="Arial"/>
          <w:highlight w:val="cyan"/>
        </w:rPr>
        <w:t>ΔΣΜμΕ</w:t>
      </w:r>
      <w:proofErr w:type="spellEnd"/>
      <w:r w:rsidR="00074525" w:rsidRPr="002F5DE5">
        <w:rPr>
          <w:rFonts w:ascii="Arial" w:hAnsi="Arial" w:cs="Arial"/>
          <w:highlight w:val="cyan"/>
        </w:rPr>
        <w:t>/ΓΓΒ και τον ΕΦΕΠΑΕ</w:t>
      </w:r>
      <w:r w:rsidR="00DB0F3E" w:rsidRPr="002F5DE5">
        <w:rPr>
          <w:rFonts w:ascii="Arial" w:hAnsi="Arial" w:cs="Arial"/>
          <w:highlight w:val="cyan"/>
        </w:rPr>
        <w:t xml:space="preserve">) </w:t>
      </w:r>
      <w:r w:rsidRPr="002F5DE5">
        <w:rPr>
          <w:rFonts w:ascii="Arial" w:hAnsi="Arial" w:cs="Arial"/>
          <w:highlight w:val="cyan"/>
        </w:rPr>
        <w:t>συνεδρίασε συνολικά δεκατρείς (</w:t>
      </w:r>
      <w:r w:rsidR="002F5DE5" w:rsidRPr="002F5DE5">
        <w:rPr>
          <w:rFonts w:ascii="Arial" w:hAnsi="Arial" w:cs="Arial"/>
          <w:highlight w:val="cyan"/>
        </w:rPr>
        <w:t>7</w:t>
      </w:r>
      <w:r w:rsidRPr="002F5DE5">
        <w:rPr>
          <w:rFonts w:ascii="Arial" w:hAnsi="Arial" w:cs="Arial"/>
          <w:highlight w:val="cyan"/>
        </w:rPr>
        <w:t xml:space="preserve">) φορές </w:t>
      </w:r>
      <w:r w:rsidR="00DB0F3E" w:rsidRPr="002F5DE5">
        <w:rPr>
          <w:rFonts w:ascii="Arial" w:hAnsi="Arial" w:cs="Arial"/>
          <w:highlight w:val="cyan"/>
        </w:rPr>
        <w:t>σ</w:t>
      </w:r>
      <w:r w:rsidR="00085E25" w:rsidRPr="002F5DE5">
        <w:rPr>
          <w:rFonts w:ascii="Arial" w:hAnsi="Arial" w:cs="Arial"/>
          <w:highlight w:val="cyan"/>
        </w:rPr>
        <w:t>ε</w:t>
      </w:r>
      <w:r w:rsidRPr="002F5DE5">
        <w:rPr>
          <w:rFonts w:ascii="Arial" w:hAnsi="Arial" w:cs="Arial"/>
          <w:highlight w:val="cyan"/>
        </w:rPr>
        <w:t xml:space="preserve"> διάστημα</w:t>
      </w:r>
      <w:r w:rsidR="00DB0F3E" w:rsidRPr="002F5DE5">
        <w:rPr>
          <w:rFonts w:ascii="Arial" w:hAnsi="Arial" w:cs="Arial"/>
          <w:highlight w:val="cyan"/>
        </w:rPr>
        <w:t xml:space="preserve"> 2 μηνών</w:t>
      </w:r>
      <w:r w:rsidRPr="00CC6141">
        <w:rPr>
          <w:rFonts w:ascii="Arial" w:hAnsi="Arial" w:cs="Arial"/>
        </w:rPr>
        <w:t xml:space="preserve"> </w:t>
      </w:r>
      <w:r w:rsidR="00DB0F3E" w:rsidRPr="002F5DE5">
        <w:rPr>
          <w:rFonts w:ascii="Arial" w:hAnsi="Arial" w:cs="Arial"/>
          <w:highlight w:val="yellow"/>
        </w:rPr>
        <w:t>(</w:t>
      </w:r>
      <w:r w:rsidRPr="002F5DE5">
        <w:rPr>
          <w:rFonts w:ascii="Arial" w:hAnsi="Arial" w:cs="Arial"/>
          <w:highlight w:val="yellow"/>
        </w:rPr>
        <w:t>από 11-12-2013 έως τις 28-2-2014</w:t>
      </w:r>
      <w:r w:rsidR="00085E25" w:rsidRPr="00CC6141">
        <w:rPr>
          <w:rFonts w:ascii="Arial" w:hAnsi="Arial" w:cs="Arial"/>
        </w:rPr>
        <w:t xml:space="preserve"> </w:t>
      </w:r>
      <w:r w:rsidRPr="00CC6141">
        <w:rPr>
          <w:rFonts w:ascii="Arial" w:hAnsi="Arial" w:cs="Arial"/>
        </w:rPr>
        <w:t xml:space="preserve">προκειμένου να εξετάσει </w:t>
      </w:r>
      <w:r w:rsidR="00DB0F3E" w:rsidRPr="00CC6141">
        <w:rPr>
          <w:rFonts w:ascii="Arial" w:hAnsi="Arial" w:cs="Arial"/>
        </w:rPr>
        <w:t xml:space="preserve">1.142 </w:t>
      </w:r>
      <w:r w:rsidRPr="00CC6141">
        <w:rPr>
          <w:rFonts w:ascii="Arial" w:hAnsi="Arial" w:cs="Arial"/>
        </w:rPr>
        <w:t>αιτήσεις ένταξης των ενδιαφερόμενων επιχειρήσεων</w:t>
      </w:r>
      <w:r w:rsidR="00F745A5" w:rsidRPr="00CC6141">
        <w:rPr>
          <w:rFonts w:ascii="Arial" w:hAnsi="Arial" w:cs="Arial"/>
        </w:rPr>
        <w:t xml:space="preserve"> (5,2 συνεδριάσεις ανά μήνα εξετάζοντας 88 αιτήματα ανά συνεδρίαση)</w:t>
      </w:r>
      <w:r w:rsidR="00085E25" w:rsidRPr="00CC6141">
        <w:rPr>
          <w:rFonts w:ascii="Arial" w:hAnsi="Arial" w:cs="Arial"/>
        </w:rPr>
        <w:t xml:space="preserve">. Ο </w:t>
      </w:r>
      <w:r w:rsidR="00DB0F3E" w:rsidRPr="00CC6141">
        <w:rPr>
          <w:rFonts w:ascii="Arial" w:hAnsi="Arial" w:cs="Arial"/>
        </w:rPr>
        <w:t>συνολικό</w:t>
      </w:r>
      <w:r w:rsidR="00085E25" w:rsidRPr="00CC6141">
        <w:rPr>
          <w:rFonts w:ascii="Arial" w:hAnsi="Arial" w:cs="Arial"/>
        </w:rPr>
        <w:t>ς</w:t>
      </w:r>
      <w:r w:rsidR="00DB0F3E" w:rsidRPr="00CC6141">
        <w:rPr>
          <w:rFonts w:ascii="Arial" w:hAnsi="Arial" w:cs="Arial"/>
        </w:rPr>
        <w:t xml:space="preserve"> προϋπολογισμό</w:t>
      </w:r>
      <w:r w:rsidR="00085E25" w:rsidRPr="00CC6141">
        <w:rPr>
          <w:rFonts w:ascii="Arial" w:hAnsi="Arial" w:cs="Arial"/>
        </w:rPr>
        <w:t>ς των αιτημάτων αξιολόγησης ανήλθε</w:t>
      </w:r>
      <w:r w:rsidR="00DB0F3E" w:rsidRPr="00CC6141">
        <w:rPr>
          <w:rFonts w:ascii="Arial" w:hAnsi="Arial" w:cs="Arial"/>
        </w:rPr>
        <w:t xml:space="preserve"> </w:t>
      </w:r>
      <w:r w:rsidR="00085E25" w:rsidRPr="00CC6141">
        <w:rPr>
          <w:rFonts w:ascii="Arial" w:hAnsi="Arial" w:cs="Arial"/>
        </w:rPr>
        <w:t>στο ποσό των</w:t>
      </w:r>
      <w:r w:rsidR="00DB0F3E" w:rsidRPr="00CC6141">
        <w:rPr>
          <w:rFonts w:ascii="Arial" w:hAnsi="Arial" w:cs="Arial"/>
        </w:rPr>
        <w:t xml:space="preserve"> 137.830.782,86 € </w:t>
      </w:r>
      <w:r w:rsidR="00085E25" w:rsidRPr="00CC6141">
        <w:rPr>
          <w:rFonts w:ascii="Arial" w:hAnsi="Arial" w:cs="Arial"/>
        </w:rPr>
        <w:t>με</w:t>
      </w:r>
      <w:r w:rsidR="00DB0F3E" w:rsidRPr="00CC6141">
        <w:rPr>
          <w:rFonts w:ascii="Arial" w:hAnsi="Arial" w:cs="Arial"/>
        </w:rPr>
        <w:t xml:space="preserve"> συνολική ζητούμενη δημόσια δαπάνη 59.938.749,08 €</w:t>
      </w:r>
      <w:r w:rsidR="00085E25" w:rsidRPr="00CC6141">
        <w:rPr>
          <w:rFonts w:ascii="Arial" w:hAnsi="Arial" w:cs="Arial"/>
        </w:rPr>
        <w:t>,</w:t>
      </w:r>
      <w:r w:rsidR="00DB0F3E" w:rsidRPr="00CC6141">
        <w:rPr>
          <w:rFonts w:ascii="Arial" w:hAnsi="Arial" w:cs="Arial"/>
          <w:bCs/>
        </w:rPr>
        <w:t xml:space="preserve"> η οποία υπερκάλυψε κατά δύο (2) φορές την εγκεκριμένη δημόσια δαπάνη του προγράμματος (30 εκ.</w:t>
      </w:r>
      <w:r w:rsidR="00DB0F3E" w:rsidRPr="00CC6141">
        <w:rPr>
          <w:rFonts w:ascii="Arial" w:hAnsi="Arial" w:cs="Arial"/>
        </w:rPr>
        <w:t> </w:t>
      </w:r>
      <w:r w:rsidR="00DB0F3E" w:rsidRPr="00CC6141">
        <w:rPr>
          <w:rFonts w:ascii="Arial" w:hAnsi="Arial" w:cs="Arial"/>
          <w:bCs/>
        </w:rPr>
        <w:t>ευρώ)</w:t>
      </w:r>
      <w:r w:rsidRPr="00CC6141">
        <w:rPr>
          <w:rFonts w:ascii="Arial" w:hAnsi="Arial" w:cs="Arial"/>
        </w:rPr>
        <w:t>. Η απόφαση ένταξης των 882 επιχειρήσεων που εντάχθηκαν στο πρόγραμμα εκδόθηκε στις 11-4-2014 (απόφαση</w:t>
      </w:r>
      <w:r w:rsidR="00DB0F3E" w:rsidRPr="00CC6141">
        <w:rPr>
          <w:rFonts w:ascii="Arial" w:hAnsi="Arial" w:cs="Arial"/>
        </w:rPr>
        <w:t xml:space="preserve"> Υφυπουργού υπ’ </w:t>
      </w:r>
      <w:r w:rsidRPr="00CC6141">
        <w:rPr>
          <w:rFonts w:ascii="Arial" w:hAnsi="Arial" w:cs="Arial"/>
        </w:rPr>
        <w:t xml:space="preserve">αριθ. </w:t>
      </w:r>
      <w:proofErr w:type="spellStart"/>
      <w:r w:rsidRPr="00CC6141">
        <w:rPr>
          <w:rFonts w:ascii="Arial" w:hAnsi="Arial" w:cs="Arial"/>
        </w:rPr>
        <w:t>πρωτ</w:t>
      </w:r>
      <w:proofErr w:type="spellEnd"/>
      <w:r w:rsidRPr="00CC6141">
        <w:rPr>
          <w:rFonts w:ascii="Arial" w:hAnsi="Arial" w:cs="Arial"/>
        </w:rPr>
        <w:t>. οικ.4503/784/11-4-2014 – ΑΔΑ</w:t>
      </w:r>
      <w:r w:rsidR="00DB0F3E" w:rsidRPr="00CC6141">
        <w:rPr>
          <w:rFonts w:ascii="Arial" w:hAnsi="Arial" w:cs="Arial"/>
        </w:rPr>
        <w:t xml:space="preserve">: </w:t>
      </w:r>
      <w:r w:rsidRPr="00CC6141">
        <w:rPr>
          <w:rFonts w:ascii="Arial" w:hAnsi="Arial" w:cs="Arial"/>
        </w:rPr>
        <w:t>ΒΙΗ2Φ-2Φ8).</w:t>
      </w:r>
    </w:p>
    <w:p w:rsidR="006563C7" w:rsidRDefault="006563C7" w:rsidP="002E2D9B">
      <w:pPr>
        <w:ind w:firstLine="426"/>
        <w:jc w:val="both"/>
        <w:rPr>
          <w:rFonts w:ascii="Arial" w:hAnsi="Arial" w:cs="Arial"/>
        </w:rPr>
      </w:pPr>
    </w:p>
    <w:p w:rsidR="006563C7" w:rsidRPr="006563C7" w:rsidRDefault="004A1DE1" w:rsidP="004A1DE1">
      <w:pPr>
        <w:pStyle w:val="2"/>
        <w:ind w:firstLine="426"/>
        <w:rPr>
          <w:rFonts w:ascii="Arial" w:hAnsi="Arial" w:cs="Arial"/>
          <w:color w:val="auto"/>
          <w:sz w:val="22"/>
          <w:szCs w:val="22"/>
        </w:rPr>
      </w:pPr>
      <w:bookmarkStart w:id="44" w:name="_Toc498075048"/>
      <w:bookmarkStart w:id="45" w:name="_Toc498076231"/>
      <w:bookmarkStart w:id="46" w:name="_Toc498076445"/>
      <w:bookmarkStart w:id="47" w:name="_Toc498076513"/>
      <w:r>
        <w:rPr>
          <w:rFonts w:ascii="Arial" w:hAnsi="Arial" w:cs="Arial"/>
          <w:color w:val="auto"/>
          <w:sz w:val="22"/>
          <w:szCs w:val="22"/>
        </w:rPr>
        <w:t xml:space="preserve">3.2 </w:t>
      </w:r>
      <w:r w:rsidR="006563C7" w:rsidRPr="006563C7">
        <w:rPr>
          <w:rFonts w:ascii="Arial" w:hAnsi="Arial" w:cs="Arial"/>
          <w:color w:val="auto"/>
          <w:sz w:val="22"/>
          <w:szCs w:val="22"/>
        </w:rPr>
        <w:t>Επιτροπή Παρακολούθησης και Παραλαβής</w:t>
      </w:r>
      <w:bookmarkEnd w:id="44"/>
      <w:bookmarkEnd w:id="45"/>
      <w:bookmarkEnd w:id="46"/>
      <w:bookmarkEnd w:id="47"/>
      <w:r w:rsidR="006563C7" w:rsidRPr="006563C7">
        <w:rPr>
          <w:rFonts w:ascii="Arial" w:hAnsi="Arial" w:cs="Arial"/>
          <w:color w:val="auto"/>
          <w:sz w:val="22"/>
          <w:szCs w:val="22"/>
        </w:rPr>
        <w:t xml:space="preserve"> </w:t>
      </w:r>
    </w:p>
    <w:p w:rsidR="006563C7" w:rsidRDefault="006563C7" w:rsidP="002E2D9B">
      <w:pPr>
        <w:ind w:firstLine="426"/>
        <w:jc w:val="both"/>
        <w:rPr>
          <w:rFonts w:ascii="Arial" w:hAnsi="Arial" w:cs="Arial"/>
        </w:rPr>
      </w:pPr>
    </w:p>
    <w:p w:rsidR="00DB0F3E" w:rsidRPr="00CC6141" w:rsidRDefault="00122BDD" w:rsidP="002E2D9B">
      <w:pPr>
        <w:ind w:firstLine="426"/>
        <w:jc w:val="both"/>
        <w:rPr>
          <w:rFonts w:ascii="Arial" w:hAnsi="Arial" w:cs="Arial"/>
        </w:rPr>
      </w:pPr>
      <w:r w:rsidRPr="00CC6141">
        <w:rPr>
          <w:rFonts w:ascii="Arial" w:hAnsi="Arial" w:cs="Arial"/>
        </w:rPr>
        <w:t xml:space="preserve">Με την υπ’ αριθ. </w:t>
      </w:r>
      <w:proofErr w:type="spellStart"/>
      <w:r w:rsidRPr="00CC6141">
        <w:rPr>
          <w:rFonts w:ascii="Arial" w:hAnsi="Arial" w:cs="Arial"/>
        </w:rPr>
        <w:t>πρωτ</w:t>
      </w:r>
      <w:proofErr w:type="spellEnd"/>
      <w:r w:rsidRPr="00CC6141">
        <w:rPr>
          <w:rFonts w:ascii="Arial" w:hAnsi="Arial" w:cs="Arial"/>
        </w:rPr>
        <w:t>. οικ. 111520/867/29-8-2014 (ΦΕΚ ΥΟΔΔ/529)</w:t>
      </w:r>
      <w:r w:rsidR="00DB0F3E" w:rsidRPr="00CC6141">
        <w:rPr>
          <w:rFonts w:ascii="Arial" w:hAnsi="Arial" w:cs="Arial"/>
        </w:rPr>
        <w:t xml:space="preserve"> απόφαση του Υφυπουργού</w:t>
      </w:r>
      <w:r w:rsidRPr="00CC6141">
        <w:rPr>
          <w:rFonts w:ascii="Arial" w:hAnsi="Arial" w:cs="Arial"/>
        </w:rPr>
        <w:t>, όπως διορθώθηκε με τα ΦΕΚ ΥΟΟΔ/563/16-9-2014 και ΦΕΚ ΥΟΔΔ/600/30-9-2014, συγκροτήθηκε η Επιτροπή Παρακολούθησης και Παραλαβής του προγ</w:t>
      </w:r>
      <w:r w:rsidR="00DB0F3E" w:rsidRPr="00CC6141">
        <w:rPr>
          <w:rFonts w:ascii="Arial" w:hAnsi="Arial" w:cs="Arial"/>
        </w:rPr>
        <w:t xml:space="preserve">ράμματος, αποτελούμενη από δύο (2) μέλη από τη </w:t>
      </w:r>
      <w:proofErr w:type="spellStart"/>
      <w:r w:rsidR="00074525" w:rsidRPr="00CC6141">
        <w:rPr>
          <w:rFonts w:ascii="Arial" w:hAnsi="Arial" w:cs="Arial"/>
        </w:rPr>
        <w:t>ΔΣΜμΕ</w:t>
      </w:r>
      <w:proofErr w:type="spellEnd"/>
      <w:r w:rsidR="00074525" w:rsidRPr="00CC6141">
        <w:rPr>
          <w:rFonts w:ascii="Arial" w:hAnsi="Arial" w:cs="Arial"/>
        </w:rPr>
        <w:t>/ΓΓΒ (πρόεδρος κ</w:t>
      </w:r>
      <w:r w:rsidR="00DB0F3E" w:rsidRPr="00CC6141">
        <w:rPr>
          <w:rFonts w:ascii="Arial" w:hAnsi="Arial" w:cs="Arial"/>
        </w:rPr>
        <w:t>ι ένα μέλος) και τρία (3) μέλη από τον ΕΦΕΠΑΕ</w:t>
      </w:r>
      <w:r w:rsidR="00074525" w:rsidRPr="00CC6141">
        <w:rPr>
          <w:rFonts w:ascii="Arial" w:hAnsi="Arial" w:cs="Arial"/>
        </w:rPr>
        <w:t xml:space="preserve"> με γραμματειακή υποστήριξη από </w:t>
      </w:r>
      <w:proofErr w:type="spellStart"/>
      <w:r w:rsidR="00074525" w:rsidRPr="00CC6141">
        <w:rPr>
          <w:rFonts w:ascii="Arial" w:hAnsi="Arial" w:cs="Arial"/>
        </w:rPr>
        <w:t>ΔΣΜμΕ</w:t>
      </w:r>
      <w:proofErr w:type="spellEnd"/>
      <w:r w:rsidR="00074525" w:rsidRPr="00CC6141">
        <w:rPr>
          <w:rFonts w:ascii="Arial" w:hAnsi="Arial" w:cs="Arial"/>
        </w:rPr>
        <w:t>/ΓΓΒ και τον ΕΦΕΠΑΕ</w:t>
      </w:r>
      <w:r w:rsidR="00DB0F3E" w:rsidRPr="00CC6141">
        <w:rPr>
          <w:rFonts w:ascii="Arial" w:hAnsi="Arial" w:cs="Arial"/>
        </w:rPr>
        <w:t xml:space="preserve">. Η Επιτροπή Παρακολούθησης και Παραλαβής του προγράμματος είχε την ευθύνη εξέτασης των παρακάτω αιτημάτων: </w:t>
      </w:r>
    </w:p>
    <w:p w:rsidR="00DB0F3E" w:rsidRPr="00CC6141" w:rsidRDefault="00DB0F3E" w:rsidP="002E2D9B">
      <w:pPr>
        <w:pStyle w:val="a3"/>
        <w:numPr>
          <w:ilvl w:val="0"/>
          <w:numId w:val="8"/>
        </w:numPr>
        <w:ind w:hanging="371"/>
        <w:jc w:val="both"/>
        <w:rPr>
          <w:rFonts w:ascii="Arial" w:hAnsi="Arial" w:cs="Arial"/>
        </w:rPr>
      </w:pPr>
      <w:r w:rsidRPr="00CC6141">
        <w:rPr>
          <w:rFonts w:ascii="Arial" w:hAnsi="Arial" w:cs="Arial"/>
        </w:rPr>
        <w:t>Αιτήματα τροποποίησης φυσικού και οικονομικού αντικειμένου (ΦΟΑ) ενταγμένων επενδυτικών σχεδίων εφόσον αυτά ήταν μεγαλύτερα του 25% του εγκεκριμένου Π/Υ. Τα αιτήματα ΦΟΑ με αλλαγές κάτω του 25% του εγκεκριμένου Π/Υ κάθε επενδυτικού σχεδίου εξετάζονταν από τους αρμόδιους ανά περιφέρεια εταίρους του ΕΦΕΠΑΕ σύμφωνα με τα καθοριζόμενα στα Κεφ. 13.5 και 13.8 του Οδηγού Εφαρμογής με σκοπό να επιταχυνθεί η διαδικασία εξέτασής τους και να μην καθυστερεί αναμένοντας τη συνεδρίαση της επιτροπής, την έκδοση του αντίστοιχου πρακτικού και την έκδοση της απόφασης αποδοχής του πρακτικού από την πολιτική ηγεσία του Υπουργείου.</w:t>
      </w:r>
    </w:p>
    <w:p w:rsidR="00DB0F3E" w:rsidRPr="00CC6141" w:rsidRDefault="00DB0F3E" w:rsidP="00DB0F3E">
      <w:pPr>
        <w:pStyle w:val="a3"/>
        <w:numPr>
          <w:ilvl w:val="0"/>
          <w:numId w:val="8"/>
        </w:numPr>
        <w:jc w:val="both"/>
        <w:rPr>
          <w:rFonts w:ascii="Arial" w:hAnsi="Arial" w:cs="Arial"/>
        </w:rPr>
      </w:pPr>
      <w:r w:rsidRPr="00CC6141">
        <w:rPr>
          <w:rFonts w:ascii="Arial" w:hAnsi="Arial" w:cs="Arial"/>
        </w:rPr>
        <w:t xml:space="preserve">Αιτήματα </w:t>
      </w:r>
      <w:proofErr w:type="spellStart"/>
      <w:r w:rsidRPr="00CC6141">
        <w:rPr>
          <w:rFonts w:ascii="Arial" w:hAnsi="Arial" w:cs="Arial"/>
        </w:rPr>
        <w:t>απεντάξεων</w:t>
      </w:r>
      <w:proofErr w:type="spellEnd"/>
      <w:r w:rsidRPr="00CC6141">
        <w:rPr>
          <w:rFonts w:ascii="Arial" w:hAnsi="Arial" w:cs="Arial"/>
        </w:rPr>
        <w:t xml:space="preserve"> (παραιτήσεις, αυτοδίκαιες </w:t>
      </w:r>
      <w:proofErr w:type="spellStart"/>
      <w:r w:rsidRPr="00CC6141">
        <w:rPr>
          <w:rFonts w:ascii="Arial" w:hAnsi="Arial" w:cs="Arial"/>
        </w:rPr>
        <w:t>απεντάξεις</w:t>
      </w:r>
      <w:proofErr w:type="spellEnd"/>
      <w:r w:rsidRPr="00CC6141">
        <w:rPr>
          <w:rFonts w:ascii="Arial" w:hAnsi="Arial" w:cs="Arial"/>
        </w:rPr>
        <w:t>) και ολοκληρώσεων επενδυτικών σχεδίων.</w:t>
      </w:r>
    </w:p>
    <w:p w:rsidR="00DB0F3E" w:rsidRPr="00CC6141" w:rsidRDefault="00DB0F3E" w:rsidP="00DB0F3E">
      <w:pPr>
        <w:pStyle w:val="a3"/>
        <w:numPr>
          <w:ilvl w:val="0"/>
          <w:numId w:val="8"/>
        </w:numPr>
        <w:jc w:val="both"/>
        <w:rPr>
          <w:rFonts w:ascii="Arial" w:hAnsi="Arial" w:cs="Arial"/>
        </w:rPr>
      </w:pPr>
      <w:r w:rsidRPr="00CC6141">
        <w:rPr>
          <w:rFonts w:ascii="Arial" w:hAnsi="Arial" w:cs="Arial"/>
        </w:rPr>
        <w:t>Μεταβολές σχημάτων συνεργασίας μεταξύ επιχειρήσεων βάσει συμφώνων συνεργασίας, λόγω του υψηλότερου ποσοστού χρηματοδότησης που λάμβαναν τα συνεργατικά σχήματα σε σχέση με τα αυτόνομα επενδυτικά σχέδια, καθώς και της υψηλότερης βαθμολογίας που λάμβαναν κατά τη διαδικασία αξιολόγησης.</w:t>
      </w:r>
    </w:p>
    <w:p w:rsidR="00DB0F3E" w:rsidRPr="00CC6141" w:rsidRDefault="00DB0F3E" w:rsidP="00DB0F3E">
      <w:pPr>
        <w:pStyle w:val="a3"/>
        <w:numPr>
          <w:ilvl w:val="0"/>
          <w:numId w:val="8"/>
        </w:numPr>
        <w:jc w:val="both"/>
        <w:rPr>
          <w:rFonts w:ascii="Arial" w:hAnsi="Arial" w:cs="Arial"/>
        </w:rPr>
      </w:pPr>
      <w:r w:rsidRPr="00CC6141">
        <w:rPr>
          <w:rFonts w:ascii="Arial" w:hAnsi="Arial" w:cs="Arial"/>
        </w:rPr>
        <w:t>Οι εκκρεμότητες σχετικά με την έκδοση των απαιτούμενων αδειών λειτουργίας σύμφωνα με το Κεφ. 13.2 (Δ) Παραλαβή Έργου του Οδηγού Εφαρμογής.</w:t>
      </w:r>
    </w:p>
    <w:p w:rsidR="00DB0F3E" w:rsidRPr="00CC6141" w:rsidRDefault="00DB0F3E" w:rsidP="00DB0F3E">
      <w:pPr>
        <w:pStyle w:val="a3"/>
        <w:numPr>
          <w:ilvl w:val="0"/>
          <w:numId w:val="8"/>
        </w:numPr>
        <w:jc w:val="both"/>
        <w:rPr>
          <w:rFonts w:ascii="Arial" w:hAnsi="Arial" w:cs="Arial"/>
        </w:rPr>
      </w:pPr>
      <w:r w:rsidRPr="00CC6141">
        <w:rPr>
          <w:rFonts w:ascii="Arial" w:hAnsi="Arial" w:cs="Arial"/>
        </w:rPr>
        <w:t xml:space="preserve">Κάθε άλλο θέμα που δεν ενέπιπτε στις αρμοδιότητες των εταίρων του ΕΦΕΠΑΕ (π.χ. αιτήματα παρατάσεων, αλλαγή νόμιμου εκπροσώπου, αλλαγή μετοχικής σύνθεσης, αλλαγές προμηθευτών, αλλαγή επωνυμίας επιχείρησης κλπ), σύμφωνα με τα καθοριζόμενα στο Κεφ. 13.8 του Οδηγού Εφαρμογής. </w:t>
      </w:r>
    </w:p>
    <w:p w:rsidR="00FF7394" w:rsidRPr="00CC6141" w:rsidRDefault="00082087" w:rsidP="002E2D9B">
      <w:pPr>
        <w:ind w:firstLine="360"/>
        <w:jc w:val="both"/>
        <w:rPr>
          <w:rFonts w:ascii="Arial" w:hAnsi="Arial" w:cs="Arial"/>
        </w:rPr>
      </w:pPr>
      <w:r>
        <w:rPr>
          <w:rFonts w:ascii="Arial" w:hAnsi="Arial" w:cs="Arial"/>
        </w:rPr>
        <w:t>Τα παραπάνω αιτήματα εξετάζονταν</w:t>
      </w:r>
      <w:r w:rsidR="00D17638">
        <w:rPr>
          <w:rFonts w:ascii="Arial" w:hAnsi="Arial" w:cs="Arial"/>
        </w:rPr>
        <w:t xml:space="preserve"> από την Επιτροπή Παρακολούθησης</w:t>
      </w:r>
      <w:r>
        <w:rPr>
          <w:rFonts w:ascii="Arial" w:hAnsi="Arial" w:cs="Arial"/>
        </w:rPr>
        <w:t xml:space="preserve">, είτε μετά από </w:t>
      </w:r>
      <w:r w:rsidR="00D17638">
        <w:rPr>
          <w:rFonts w:ascii="Arial" w:hAnsi="Arial" w:cs="Arial"/>
        </w:rPr>
        <w:t>εισηγήσεις</w:t>
      </w:r>
      <w:r>
        <w:rPr>
          <w:rFonts w:ascii="Arial" w:hAnsi="Arial" w:cs="Arial"/>
        </w:rPr>
        <w:t xml:space="preserve"> </w:t>
      </w:r>
      <w:r w:rsidR="00D17638">
        <w:rPr>
          <w:rFonts w:ascii="Arial" w:hAnsi="Arial" w:cs="Arial"/>
        </w:rPr>
        <w:t>(ανά θέμα)</w:t>
      </w:r>
      <w:r w:rsidR="00EF0A06">
        <w:rPr>
          <w:rFonts w:ascii="Arial" w:hAnsi="Arial" w:cs="Arial"/>
        </w:rPr>
        <w:t xml:space="preserve"> του ΕΦΕΠΑΕ</w:t>
      </w:r>
      <w:r>
        <w:rPr>
          <w:rFonts w:ascii="Arial" w:hAnsi="Arial" w:cs="Arial"/>
        </w:rPr>
        <w:t xml:space="preserve">, είτε κατόπιν πρωτοβουλίας της </w:t>
      </w:r>
      <w:r w:rsidR="00D17638">
        <w:rPr>
          <w:rFonts w:ascii="Arial" w:hAnsi="Arial" w:cs="Arial"/>
        </w:rPr>
        <w:t>ίδιας της Επιτροπής Παρακολούθησης.</w:t>
      </w:r>
      <w:r>
        <w:rPr>
          <w:rFonts w:ascii="Arial" w:hAnsi="Arial" w:cs="Arial"/>
        </w:rPr>
        <w:t xml:space="preserve"> </w:t>
      </w:r>
      <w:r w:rsidR="00DB0F3E" w:rsidRPr="00CC6141">
        <w:rPr>
          <w:rFonts w:ascii="Arial" w:hAnsi="Arial" w:cs="Arial"/>
        </w:rPr>
        <w:t xml:space="preserve">Ειδικότερα, η Επιτροπή Παρακολούθησης και Παραλαβής </w:t>
      </w:r>
      <w:r w:rsidR="00122BDD" w:rsidRPr="00CC6141">
        <w:rPr>
          <w:rFonts w:ascii="Arial" w:hAnsi="Arial" w:cs="Arial"/>
        </w:rPr>
        <w:t xml:space="preserve">στο πλαίσιο των αρμοδιοτήτων της όπως καθορίζονται στον οδηγό εφαρμογής του προγράμματος, </w:t>
      </w:r>
      <w:r w:rsidR="00F745A5" w:rsidRPr="00CC6141">
        <w:rPr>
          <w:rFonts w:ascii="Arial" w:hAnsi="Arial" w:cs="Arial"/>
        </w:rPr>
        <w:t xml:space="preserve">συνεδρίασε συνολικά 28 φορές σε διάστημα 30 μηνών (από 6-10-2014 έως 16-3-2017) κι </w:t>
      </w:r>
      <w:r w:rsidR="00DB0F3E" w:rsidRPr="00CC6141">
        <w:rPr>
          <w:rFonts w:ascii="Arial" w:hAnsi="Arial" w:cs="Arial"/>
        </w:rPr>
        <w:t>εξέτασε</w:t>
      </w:r>
      <w:r w:rsidR="00085E25" w:rsidRPr="00CC6141">
        <w:rPr>
          <w:rFonts w:ascii="Arial" w:hAnsi="Arial" w:cs="Arial"/>
        </w:rPr>
        <w:t xml:space="preserve"> </w:t>
      </w:r>
      <w:r w:rsidR="005B5782" w:rsidRPr="00CC6141">
        <w:rPr>
          <w:rFonts w:ascii="Arial" w:hAnsi="Arial" w:cs="Arial"/>
        </w:rPr>
        <w:t>σ</w:t>
      </w:r>
      <w:r w:rsidR="00094280" w:rsidRPr="00CC6141">
        <w:rPr>
          <w:rFonts w:ascii="Arial" w:hAnsi="Arial" w:cs="Arial"/>
        </w:rPr>
        <w:t>υνολικά 1</w:t>
      </w:r>
      <w:r w:rsidR="00085E25" w:rsidRPr="00CC6141">
        <w:rPr>
          <w:rFonts w:ascii="Arial" w:hAnsi="Arial" w:cs="Arial"/>
        </w:rPr>
        <w:t>.</w:t>
      </w:r>
      <w:r w:rsidR="00094280" w:rsidRPr="00CC6141">
        <w:rPr>
          <w:rFonts w:ascii="Arial" w:hAnsi="Arial" w:cs="Arial"/>
        </w:rPr>
        <w:t xml:space="preserve">046 αιτήματα </w:t>
      </w:r>
      <w:r w:rsidR="00F745A5" w:rsidRPr="00CC6141">
        <w:rPr>
          <w:rFonts w:ascii="Arial" w:hAnsi="Arial" w:cs="Arial"/>
        </w:rPr>
        <w:t xml:space="preserve">(σχεδόν 1 συνεδρίαση ανά μήνα εξετάζοντας κατά μέσο όρο 88 αιτήματα ανά συνεδρίαση), </w:t>
      </w:r>
      <w:r w:rsidR="00DB0F3E" w:rsidRPr="00CC6141">
        <w:rPr>
          <w:rFonts w:ascii="Arial" w:hAnsi="Arial" w:cs="Arial"/>
        </w:rPr>
        <w:t>ως ακολούθως</w:t>
      </w:r>
      <w:r w:rsidR="00FF7394" w:rsidRPr="00CC6141">
        <w:rPr>
          <w:rFonts w:ascii="Arial" w:hAnsi="Arial" w:cs="Arial"/>
        </w:rPr>
        <w:t>:</w:t>
      </w:r>
    </w:p>
    <w:p w:rsidR="00FF7394" w:rsidRPr="00CC6141" w:rsidRDefault="00122BDD" w:rsidP="002E2D9B">
      <w:pPr>
        <w:pStyle w:val="a3"/>
        <w:numPr>
          <w:ilvl w:val="0"/>
          <w:numId w:val="7"/>
        </w:numPr>
        <w:ind w:left="1134" w:hanging="425"/>
        <w:jc w:val="both"/>
        <w:rPr>
          <w:rFonts w:ascii="Arial" w:hAnsi="Arial" w:cs="Arial"/>
        </w:rPr>
      </w:pPr>
      <w:r w:rsidRPr="00CC6141">
        <w:rPr>
          <w:rFonts w:ascii="Arial" w:hAnsi="Arial" w:cs="Arial"/>
        </w:rPr>
        <w:t>246 ενστάσεις (</w:t>
      </w:r>
      <w:proofErr w:type="spellStart"/>
      <w:r w:rsidRPr="00CC6141">
        <w:rPr>
          <w:rFonts w:ascii="Arial" w:hAnsi="Arial" w:cs="Arial"/>
        </w:rPr>
        <w:t>ενδικοφανείς</w:t>
      </w:r>
      <w:proofErr w:type="spellEnd"/>
      <w:r w:rsidRPr="00CC6141">
        <w:rPr>
          <w:rFonts w:ascii="Arial" w:hAnsi="Arial" w:cs="Arial"/>
        </w:rPr>
        <w:t xml:space="preserve"> προσφυγές) επί των αποτελεσμάτων της αξιολογικής διαδικασίας</w:t>
      </w:r>
      <w:r w:rsidR="005B5782" w:rsidRPr="00CC6141">
        <w:rPr>
          <w:rFonts w:ascii="Arial" w:hAnsi="Arial" w:cs="Arial"/>
        </w:rPr>
        <w:t xml:space="preserve"> το διάστημα από 6-10-2014 έως 16-12-2014</w:t>
      </w:r>
      <w:r w:rsidR="00F745A5" w:rsidRPr="00CC6141">
        <w:rPr>
          <w:rFonts w:ascii="Arial" w:hAnsi="Arial" w:cs="Arial"/>
        </w:rPr>
        <w:t xml:space="preserve"> (3,2 συνεδριάσεις ανά μήνα εξετάζοντας κατά μέσο όρο 31 ενστάσεις ανά συνεδρίαση)</w:t>
      </w:r>
      <w:r w:rsidR="00FF7394" w:rsidRPr="00CC6141">
        <w:rPr>
          <w:rFonts w:ascii="Arial" w:hAnsi="Arial" w:cs="Arial"/>
        </w:rPr>
        <w:t>,</w:t>
      </w:r>
    </w:p>
    <w:p w:rsidR="00CC77E6" w:rsidRPr="00CC6141" w:rsidRDefault="00CC77E6" w:rsidP="002E2D9B">
      <w:pPr>
        <w:pStyle w:val="a3"/>
        <w:numPr>
          <w:ilvl w:val="0"/>
          <w:numId w:val="7"/>
        </w:numPr>
        <w:ind w:left="1134" w:hanging="425"/>
        <w:jc w:val="both"/>
        <w:rPr>
          <w:rFonts w:ascii="Arial" w:hAnsi="Arial" w:cs="Arial"/>
        </w:rPr>
      </w:pPr>
      <w:r w:rsidRPr="00CC6141">
        <w:rPr>
          <w:rFonts w:ascii="Arial" w:hAnsi="Arial" w:cs="Arial"/>
        </w:rPr>
        <w:t>800 αιτήματα των ενταγμένων επιχειρήσεων το διάστημα από 5-5-2015 έως 16-3-2017 (1 συνεδρίαση ανά μήνα εξετάζοντας κατά μέσο ό</w:t>
      </w:r>
      <w:r w:rsidR="009D50C4">
        <w:rPr>
          <w:rFonts w:ascii="Arial" w:hAnsi="Arial" w:cs="Arial"/>
        </w:rPr>
        <w:t>ρο 36 αιτήματα ανά συνεδρίαση).</w:t>
      </w:r>
    </w:p>
    <w:p w:rsidR="00074525" w:rsidRDefault="007B3A21" w:rsidP="00790CFC">
      <w:pPr>
        <w:jc w:val="center"/>
        <w:rPr>
          <w:rFonts w:ascii="Arial" w:hAnsi="Arial" w:cs="Arial"/>
          <w:b/>
        </w:rPr>
      </w:pPr>
      <w:r w:rsidRPr="00CC6141">
        <w:rPr>
          <w:rFonts w:ascii="Arial" w:hAnsi="Arial" w:cs="Arial"/>
          <w:b/>
        </w:rPr>
        <w:t>Συνεδριάσεις και θέματα που εξέτασε η Επιτροπή Παρακολούθησης</w:t>
      </w:r>
    </w:p>
    <w:p w:rsidR="000C7767" w:rsidRPr="00410CFD" w:rsidRDefault="000C7767" w:rsidP="00FF7394">
      <w:pPr>
        <w:ind w:left="360"/>
        <w:jc w:val="both"/>
        <w:rPr>
          <w:rFonts w:ascii="Arial" w:hAnsi="Arial" w:cs="Arial"/>
          <w:sz w:val="18"/>
          <w:szCs w:val="18"/>
        </w:rPr>
      </w:pPr>
      <w:r w:rsidRPr="00410CFD">
        <w:rPr>
          <w:rFonts w:ascii="Arial" w:hAnsi="Arial" w:cs="Arial"/>
          <w:noProof/>
          <w:sz w:val="18"/>
          <w:szCs w:val="18"/>
          <w:lang w:eastAsia="el-GR"/>
        </w:rPr>
        <w:drawing>
          <wp:inline distT="0" distB="0" distL="0" distR="0">
            <wp:extent cx="5673538" cy="6146030"/>
            <wp:effectExtent l="19050" t="0" r="3362" b="0"/>
            <wp:docPr id="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669952" cy="6142146"/>
                    </a:xfrm>
                    <a:prstGeom prst="rect">
                      <a:avLst/>
                    </a:prstGeom>
                    <a:noFill/>
                    <a:ln w="9525">
                      <a:noFill/>
                      <a:miter lim="800000"/>
                      <a:headEnd/>
                      <a:tailEnd/>
                    </a:ln>
                  </pic:spPr>
                </pic:pic>
              </a:graphicData>
            </a:graphic>
          </wp:inline>
        </w:drawing>
      </w:r>
    </w:p>
    <w:p w:rsidR="005B5782" w:rsidRPr="00CC6141" w:rsidRDefault="005B5782" w:rsidP="002E2D9B">
      <w:pPr>
        <w:ind w:firstLine="360"/>
        <w:jc w:val="both"/>
        <w:rPr>
          <w:rFonts w:ascii="Arial" w:hAnsi="Arial" w:cs="Arial"/>
        </w:rPr>
      </w:pPr>
      <w:r w:rsidRPr="00CC6141">
        <w:rPr>
          <w:rFonts w:ascii="Arial" w:hAnsi="Arial" w:cs="Arial"/>
        </w:rPr>
        <w:t xml:space="preserve">Από τα στοιχεία του παραπάνω πίνακα προκύπτει ότι η πλειοψηφία των αιτημάτων που εξέτασε η Επιτροπή Παρακολούθησης αφορούσαν τροποποιήσεις φυσικού και οικονομικού αντικειμένου (ΦΟΑ) των επενδυτικών σχεδίων </w:t>
      </w:r>
      <w:r w:rsidR="00701F5D" w:rsidRPr="00CC6141">
        <w:rPr>
          <w:rFonts w:ascii="Arial" w:hAnsi="Arial" w:cs="Arial"/>
        </w:rPr>
        <w:t xml:space="preserve">και ολοκληρώσεων </w:t>
      </w:r>
      <w:r w:rsidRPr="00CC6141">
        <w:rPr>
          <w:rFonts w:ascii="Arial" w:hAnsi="Arial" w:cs="Arial"/>
        </w:rPr>
        <w:t>(379), τα οποία εξετάστηκαν σε διάστημα 22 μηνών</w:t>
      </w:r>
      <w:r w:rsidR="002812AE" w:rsidRPr="00CC6141">
        <w:rPr>
          <w:rFonts w:ascii="Arial" w:hAnsi="Arial" w:cs="Arial"/>
        </w:rPr>
        <w:t xml:space="preserve"> (Μάιος 2015 έως Μάρτιος 2017). Προηγουμένως, </w:t>
      </w:r>
      <w:r w:rsidRPr="00CC6141">
        <w:rPr>
          <w:rFonts w:ascii="Arial" w:hAnsi="Arial" w:cs="Arial"/>
        </w:rPr>
        <w:t>εξετάστηκαν 246 ενστάσεις (</w:t>
      </w:r>
      <w:proofErr w:type="spellStart"/>
      <w:r w:rsidRPr="00CC6141">
        <w:rPr>
          <w:rFonts w:ascii="Arial" w:hAnsi="Arial" w:cs="Arial"/>
        </w:rPr>
        <w:t>ενδικοφανείς</w:t>
      </w:r>
      <w:proofErr w:type="spellEnd"/>
      <w:r w:rsidRPr="00CC6141">
        <w:rPr>
          <w:rFonts w:ascii="Arial" w:hAnsi="Arial" w:cs="Arial"/>
        </w:rPr>
        <w:t xml:space="preserve"> προσφυγές) επί των αποτελεσμάτων της αξιολογικής διαδικασίας </w:t>
      </w:r>
      <w:r w:rsidR="002812AE" w:rsidRPr="00CC6141">
        <w:rPr>
          <w:rFonts w:ascii="Arial" w:hAnsi="Arial" w:cs="Arial"/>
        </w:rPr>
        <w:t xml:space="preserve">σε οκτώ </w:t>
      </w:r>
      <w:r w:rsidR="004A5167" w:rsidRPr="00CC6141">
        <w:rPr>
          <w:rFonts w:ascii="Arial" w:hAnsi="Arial" w:cs="Arial"/>
        </w:rPr>
        <w:t xml:space="preserve">(8) </w:t>
      </w:r>
      <w:r w:rsidR="002812AE" w:rsidRPr="00CC6141">
        <w:rPr>
          <w:rFonts w:ascii="Arial" w:hAnsi="Arial" w:cs="Arial"/>
        </w:rPr>
        <w:t xml:space="preserve">συνεδριάσεις σε διάστημα δυόμισι (2½) μηνών, από τις οποίες κατέληξαν στην επιτροπή </w:t>
      </w:r>
      <w:r w:rsidR="004A5167" w:rsidRPr="00CC6141">
        <w:rPr>
          <w:rFonts w:ascii="Arial" w:hAnsi="Arial" w:cs="Arial"/>
        </w:rPr>
        <w:t xml:space="preserve">για </w:t>
      </w:r>
      <w:r w:rsidR="002812AE" w:rsidRPr="00CC6141">
        <w:rPr>
          <w:rFonts w:ascii="Arial" w:hAnsi="Arial" w:cs="Arial"/>
        </w:rPr>
        <w:t xml:space="preserve">επτά (7) θέματα επαναξιολογήσεων για ένταξη και επτά (7) θέματα που αφορούσαν την ένταξη δαπανών που είχαν περικοπεί κατά την αξιολόγηση, </w:t>
      </w:r>
      <w:r w:rsidR="00074525" w:rsidRPr="00CC6141">
        <w:rPr>
          <w:rFonts w:ascii="Arial" w:hAnsi="Arial" w:cs="Arial"/>
        </w:rPr>
        <w:t>εντάχθηκαν στο Πληροφοριακό Σύστημα Κρατικών Εν</w:t>
      </w:r>
      <w:r w:rsidR="000C7767" w:rsidRPr="00CC6141">
        <w:rPr>
          <w:rFonts w:ascii="Arial" w:hAnsi="Arial" w:cs="Arial"/>
        </w:rPr>
        <w:t>ισχύσ</w:t>
      </w:r>
      <w:r w:rsidR="00074525" w:rsidRPr="00CC6141">
        <w:rPr>
          <w:rFonts w:ascii="Arial" w:hAnsi="Arial" w:cs="Arial"/>
        </w:rPr>
        <w:t>εων (ΠΣΚΕ) και οριστικοποιήθηκαν από την επιτροπή</w:t>
      </w:r>
      <w:r w:rsidR="002812AE" w:rsidRPr="00CC6141">
        <w:rPr>
          <w:rFonts w:ascii="Arial" w:hAnsi="Arial" w:cs="Arial"/>
        </w:rPr>
        <w:t>. Επιπλέον, εξ</w:t>
      </w:r>
      <w:r w:rsidR="00074525" w:rsidRPr="00CC6141">
        <w:rPr>
          <w:rFonts w:ascii="Arial" w:hAnsi="Arial" w:cs="Arial"/>
        </w:rPr>
        <w:t>ε</w:t>
      </w:r>
      <w:r w:rsidR="002812AE" w:rsidRPr="00CC6141">
        <w:rPr>
          <w:rFonts w:ascii="Arial" w:hAnsi="Arial" w:cs="Arial"/>
        </w:rPr>
        <w:t>τάστηκαν κατόπιν συνεργασίας με τον ΕΦΕΠΑΕ 302 θέματα πο</w:t>
      </w:r>
      <w:r w:rsidR="00074525" w:rsidRPr="00CC6141">
        <w:rPr>
          <w:rFonts w:ascii="Arial" w:hAnsi="Arial" w:cs="Arial"/>
        </w:rPr>
        <w:t xml:space="preserve">υ αφορούσαν </w:t>
      </w:r>
      <w:proofErr w:type="spellStart"/>
      <w:r w:rsidR="00074525" w:rsidRPr="00CC6141">
        <w:rPr>
          <w:rFonts w:ascii="Arial" w:hAnsi="Arial" w:cs="Arial"/>
        </w:rPr>
        <w:t>απεντάξεις</w:t>
      </w:r>
      <w:proofErr w:type="spellEnd"/>
      <w:r w:rsidR="00074525" w:rsidRPr="00CC6141">
        <w:rPr>
          <w:rFonts w:ascii="Arial" w:hAnsi="Arial" w:cs="Arial"/>
        </w:rPr>
        <w:t xml:space="preserve"> (αιτήματ</w:t>
      </w:r>
      <w:r w:rsidR="002812AE" w:rsidRPr="00CC6141">
        <w:rPr>
          <w:rFonts w:ascii="Arial" w:hAnsi="Arial" w:cs="Arial"/>
        </w:rPr>
        <w:t>α</w:t>
      </w:r>
      <w:r w:rsidR="00074525" w:rsidRPr="00CC6141">
        <w:rPr>
          <w:rFonts w:ascii="Arial" w:hAnsi="Arial" w:cs="Arial"/>
        </w:rPr>
        <w:t xml:space="preserve"> </w:t>
      </w:r>
      <w:r w:rsidR="002812AE" w:rsidRPr="00CC6141">
        <w:rPr>
          <w:rFonts w:ascii="Arial" w:hAnsi="Arial" w:cs="Arial"/>
        </w:rPr>
        <w:t>παρ</w:t>
      </w:r>
      <w:r w:rsidR="00074525" w:rsidRPr="00CC6141">
        <w:rPr>
          <w:rFonts w:ascii="Arial" w:hAnsi="Arial" w:cs="Arial"/>
        </w:rPr>
        <w:t>α</w:t>
      </w:r>
      <w:r w:rsidR="002812AE" w:rsidRPr="00CC6141">
        <w:rPr>
          <w:rFonts w:ascii="Arial" w:hAnsi="Arial" w:cs="Arial"/>
        </w:rPr>
        <w:t>ίτησης ή αυτοδίκ</w:t>
      </w:r>
      <w:r w:rsidR="00074525" w:rsidRPr="00CC6141">
        <w:rPr>
          <w:rFonts w:ascii="Arial" w:hAnsi="Arial" w:cs="Arial"/>
        </w:rPr>
        <w:t>α</w:t>
      </w:r>
      <w:r w:rsidR="002812AE" w:rsidRPr="00CC6141">
        <w:rPr>
          <w:rFonts w:ascii="Arial" w:hAnsi="Arial" w:cs="Arial"/>
        </w:rPr>
        <w:t xml:space="preserve">ιες </w:t>
      </w:r>
      <w:proofErr w:type="spellStart"/>
      <w:r w:rsidR="002812AE" w:rsidRPr="00CC6141">
        <w:rPr>
          <w:rFonts w:ascii="Arial" w:hAnsi="Arial" w:cs="Arial"/>
        </w:rPr>
        <w:t>απεντάξεις</w:t>
      </w:r>
      <w:proofErr w:type="spellEnd"/>
      <w:r w:rsidR="002812AE" w:rsidRPr="00CC6141">
        <w:rPr>
          <w:rFonts w:ascii="Arial" w:hAnsi="Arial" w:cs="Arial"/>
        </w:rPr>
        <w:t xml:space="preserve">), καθώς και </w:t>
      </w:r>
      <w:r w:rsidR="00074525" w:rsidRPr="00CC6141">
        <w:rPr>
          <w:rFonts w:ascii="Arial" w:hAnsi="Arial" w:cs="Arial"/>
        </w:rPr>
        <w:t>18 αιτήματα θεραπείας επί αποφάσεων αποδοχής πρακτικών για θέματα που εξετάστηκαν από την επιτροπή σε προηγούμενο στάδιο.</w:t>
      </w:r>
      <w:r w:rsidR="000C7767" w:rsidRPr="00CC6141">
        <w:rPr>
          <w:rFonts w:ascii="Arial" w:hAnsi="Arial" w:cs="Arial"/>
        </w:rPr>
        <w:t xml:space="preserve"> Τέλος, η επιτροπή παρέλαβε συνολικά 892 έργα (4</w:t>
      </w:r>
      <w:r w:rsidR="00085E25" w:rsidRPr="00CC6141">
        <w:rPr>
          <w:rFonts w:ascii="Arial" w:hAnsi="Arial" w:cs="Arial"/>
        </w:rPr>
        <w:t>87 ολοκληρωμένα επενδυτικά έργα</w:t>
      </w:r>
      <w:r w:rsidR="000C7767" w:rsidRPr="00CC6141">
        <w:rPr>
          <w:rFonts w:ascii="Arial" w:hAnsi="Arial" w:cs="Arial"/>
        </w:rPr>
        <w:t xml:space="preserve"> και 405 </w:t>
      </w:r>
      <w:proofErr w:type="spellStart"/>
      <w:r w:rsidR="000C7767" w:rsidRPr="00CC6141">
        <w:rPr>
          <w:rFonts w:ascii="Arial" w:hAnsi="Arial" w:cs="Arial"/>
        </w:rPr>
        <w:t>απενταγμένα</w:t>
      </w:r>
      <w:proofErr w:type="spellEnd"/>
      <w:r w:rsidR="000C7767" w:rsidRPr="00CC6141">
        <w:rPr>
          <w:rFonts w:ascii="Arial" w:hAnsi="Arial" w:cs="Arial"/>
        </w:rPr>
        <w:t xml:space="preserve"> έργα).</w:t>
      </w:r>
      <w:r w:rsidR="00A7744B" w:rsidRPr="00CC6141">
        <w:rPr>
          <w:rFonts w:ascii="Arial" w:hAnsi="Arial" w:cs="Arial"/>
        </w:rPr>
        <w:t xml:space="preserve"> Επτά (7) από τις επιχειρήσεις των οποίων τα επενδυτικά έργα </w:t>
      </w:r>
      <w:proofErr w:type="spellStart"/>
      <w:r w:rsidR="00A7744B" w:rsidRPr="00CC6141">
        <w:rPr>
          <w:rFonts w:ascii="Arial" w:hAnsi="Arial" w:cs="Arial"/>
        </w:rPr>
        <w:t>απεντάχθηκαν</w:t>
      </w:r>
      <w:proofErr w:type="spellEnd"/>
      <w:r w:rsidR="00A7744B" w:rsidRPr="00CC6141">
        <w:rPr>
          <w:rFonts w:ascii="Arial" w:hAnsi="Arial" w:cs="Arial"/>
        </w:rPr>
        <w:t xml:space="preserve"> από το πρόγραμμα θα κληθούν να επιστρέψουν τη ληφθείσα εκ μέρους τους επιχορήγηση συνολικού ποσού 297.577,62 ευρώ</w:t>
      </w:r>
      <w:r w:rsidR="00F745A5" w:rsidRPr="00CC6141">
        <w:rPr>
          <w:rFonts w:ascii="Arial" w:hAnsi="Arial" w:cs="Arial"/>
        </w:rPr>
        <w:t xml:space="preserve"> ως αχρεωστήτως καταβληθείσα</w:t>
      </w:r>
      <w:r w:rsidR="00A7744B" w:rsidRPr="00CC6141">
        <w:rPr>
          <w:rFonts w:ascii="Arial" w:hAnsi="Arial" w:cs="Arial"/>
        </w:rPr>
        <w:t>, καθώς διαπιστώθηκε ότι παρέβησαν τους όρους υλοποίησης βάσει του Οδηγού Εφαρμογής του προγράμματος.</w:t>
      </w:r>
    </w:p>
    <w:p w:rsidR="00E222B5" w:rsidRPr="00CC6141" w:rsidRDefault="004A5167" w:rsidP="006F123F">
      <w:pPr>
        <w:ind w:firstLine="360"/>
        <w:jc w:val="both"/>
        <w:rPr>
          <w:rFonts w:ascii="Arial" w:hAnsi="Arial" w:cs="Arial"/>
        </w:rPr>
      </w:pPr>
      <w:r w:rsidRPr="00CC6141">
        <w:rPr>
          <w:rFonts w:ascii="Arial" w:hAnsi="Arial" w:cs="Arial"/>
        </w:rPr>
        <w:t xml:space="preserve">Τέλος, </w:t>
      </w:r>
      <w:r w:rsidRPr="003801A0">
        <w:rPr>
          <w:rFonts w:ascii="Arial" w:hAnsi="Arial" w:cs="Arial"/>
        </w:rPr>
        <w:t>αξίζει να σημειωθεί ότι, τ</w:t>
      </w:r>
      <w:r w:rsidR="00701F5D" w:rsidRPr="003801A0">
        <w:rPr>
          <w:rFonts w:ascii="Arial" w:hAnsi="Arial" w:cs="Arial"/>
        </w:rPr>
        <w:t xml:space="preserve">όσο η Επιτροπή Αξιολόγησης των αιτημάτων ένταξης, όσο και η Επιτροπή Παρακολούθησης και Παραλαβής </w:t>
      </w:r>
      <w:r w:rsidR="000B73D3" w:rsidRPr="003801A0">
        <w:rPr>
          <w:rFonts w:ascii="Arial" w:hAnsi="Arial" w:cs="Arial"/>
        </w:rPr>
        <w:t xml:space="preserve"> </w:t>
      </w:r>
      <w:r w:rsidR="00701F5D" w:rsidRPr="003801A0">
        <w:rPr>
          <w:rFonts w:ascii="Arial" w:hAnsi="Arial" w:cs="Arial"/>
        </w:rPr>
        <w:t>του προ</w:t>
      </w:r>
      <w:r w:rsidR="00493D91" w:rsidRPr="003801A0">
        <w:rPr>
          <w:rFonts w:ascii="Arial" w:hAnsi="Arial" w:cs="Arial"/>
        </w:rPr>
        <w:t>γράμματος δεν ήταν αμειβόμενες,</w:t>
      </w:r>
      <w:r w:rsidR="00493D91" w:rsidRPr="00CC6141">
        <w:rPr>
          <w:rFonts w:ascii="Arial" w:hAnsi="Arial" w:cs="Arial"/>
        </w:rPr>
        <w:t xml:space="preserve"> </w:t>
      </w:r>
      <w:r w:rsidR="00701F5D" w:rsidRPr="00CC6141">
        <w:rPr>
          <w:rFonts w:ascii="Arial" w:hAnsi="Arial" w:cs="Arial"/>
        </w:rPr>
        <w:t>σε αντίθεση με τις αντίστοιχε</w:t>
      </w:r>
      <w:r w:rsidR="00493D91" w:rsidRPr="00CC6141">
        <w:rPr>
          <w:rFonts w:ascii="Arial" w:hAnsi="Arial" w:cs="Arial"/>
        </w:rPr>
        <w:t>ς</w:t>
      </w:r>
      <w:r w:rsidR="00701F5D" w:rsidRPr="00CC6141">
        <w:rPr>
          <w:rFonts w:ascii="Arial" w:hAnsi="Arial" w:cs="Arial"/>
        </w:rPr>
        <w:t xml:space="preserve"> επιτροπές των προγραμμάτων κρατικών ενισχύσεων </w:t>
      </w:r>
      <w:r w:rsidR="00493D91" w:rsidRPr="00CC6141">
        <w:rPr>
          <w:rFonts w:ascii="Arial" w:hAnsi="Arial" w:cs="Arial"/>
        </w:rPr>
        <w:t xml:space="preserve">που έχουν προκηρυχθεί στο πλαίσιο </w:t>
      </w:r>
      <w:r w:rsidR="00701F5D" w:rsidRPr="00CC6141">
        <w:rPr>
          <w:rFonts w:ascii="Arial" w:hAnsi="Arial" w:cs="Arial"/>
        </w:rPr>
        <w:t xml:space="preserve">του </w:t>
      </w:r>
      <w:r w:rsidR="00493D91" w:rsidRPr="00CC6141">
        <w:rPr>
          <w:rFonts w:ascii="Arial" w:hAnsi="Arial" w:cs="Arial"/>
        </w:rPr>
        <w:t>Επιχειρησιακού Προγράμματος «Ανταγωνιστικότητα-Επιχειρηματικότητα-</w:t>
      </w:r>
      <w:proofErr w:type="spellStart"/>
      <w:r w:rsidR="00493D91" w:rsidRPr="00CC6141">
        <w:rPr>
          <w:rFonts w:ascii="Arial" w:hAnsi="Arial" w:cs="Arial"/>
        </w:rPr>
        <w:t>Καινοτομία</w:t>
      </w:r>
      <w:proofErr w:type="spellEnd"/>
      <w:r w:rsidR="00493D91" w:rsidRPr="00CC6141">
        <w:rPr>
          <w:rFonts w:ascii="Arial" w:hAnsi="Arial" w:cs="Arial"/>
        </w:rPr>
        <w:t>» (</w:t>
      </w:r>
      <w:proofErr w:type="spellStart"/>
      <w:r w:rsidR="00701F5D" w:rsidRPr="00CC6141">
        <w:rPr>
          <w:rFonts w:ascii="Arial" w:hAnsi="Arial" w:cs="Arial"/>
        </w:rPr>
        <w:t>ΕΠΑνΕΚ</w:t>
      </w:r>
      <w:proofErr w:type="spellEnd"/>
      <w:r w:rsidR="00493D91" w:rsidRPr="00CC6141">
        <w:rPr>
          <w:rFonts w:ascii="Arial" w:hAnsi="Arial" w:cs="Arial"/>
        </w:rPr>
        <w:t>)</w:t>
      </w:r>
      <w:r w:rsidR="00701F5D" w:rsidRPr="00CC6141">
        <w:rPr>
          <w:rFonts w:ascii="Arial" w:hAnsi="Arial" w:cs="Arial"/>
        </w:rPr>
        <w:t xml:space="preserve"> του ΕΣΠΑ 2014-2020)</w:t>
      </w:r>
      <w:r w:rsidR="00493D91" w:rsidRPr="00CC6141">
        <w:rPr>
          <w:rFonts w:ascii="Arial" w:hAnsi="Arial" w:cs="Arial"/>
        </w:rPr>
        <w:t>, στο πλαίσιο του οποίου η ΓΓΒ δεν έχει ορισθεί Ενδιάμεσος Φορέας Διαχείρισης</w:t>
      </w:r>
      <w:r w:rsidRPr="00CC6141">
        <w:rPr>
          <w:rFonts w:ascii="Arial" w:hAnsi="Arial" w:cs="Arial"/>
        </w:rPr>
        <w:t xml:space="preserve"> (όπως στο ΕΣΠΑ 2007-2013), παρόλο </w:t>
      </w:r>
      <w:r w:rsidR="00A26B79" w:rsidRPr="00CC6141">
        <w:rPr>
          <w:rFonts w:ascii="Arial" w:hAnsi="Arial" w:cs="Arial"/>
        </w:rPr>
        <w:t>που οι υπηρεσίες της διαθέτουν σημαντική εμπειρία και τεχνογνωσία επί θεμάτων κρατικών ενισχύσεων</w:t>
      </w:r>
      <w:r w:rsidR="00701F5D" w:rsidRPr="00CC6141">
        <w:rPr>
          <w:rFonts w:ascii="Arial" w:hAnsi="Arial" w:cs="Arial"/>
        </w:rPr>
        <w:t>.</w:t>
      </w:r>
    </w:p>
    <w:p w:rsidR="00E222B5" w:rsidRDefault="00082087" w:rsidP="004A1DE1">
      <w:pPr>
        <w:pStyle w:val="1"/>
        <w:numPr>
          <w:ilvl w:val="0"/>
          <w:numId w:val="14"/>
        </w:numPr>
        <w:rPr>
          <w:rFonts w:ascii="Arial" w:hAnsi="Arial" w:cs="Arial"/>
          <w:color w:val="auto"/>
          <w:sz w:val="24"/>
          <w:szCs w:val="24"/>
        </w:rPr>
      </w:pPr>
      <w:bookmarkStart w:id="48" w:name="_Toc498075049"/>
      <w:bookmarkStart w:id="49" w:name="_Toc498076232"/>
      <w:bookmarkStart w:id="50" w:name="_Toc498076446"/>
      <w:bookmarkStart w:id="51" w:name="_Toc498076514"/>
      <w:r w:rsidRPr="00082087">
        <w:rPr>
          <w:rFonts w:ascii="Arial" w:hAnsi="Arial" w:cs="Arial"/>
          <w:color w:val="auto"/>
          <w:sz w:val="24"/>
          <w:szCs w:val="24"/>
        </w:rPr>
        <w:t xml:space="preserve">Προβλήματα </w:t>
      </w:r>
      <w:r w:rsidR="006563C7">
        <w:rPr>
          <w:rFonts w:ascii="Arial" w:hAnsi="Arial" w:cs="Arial"/>
          <w:color w:val="auto"/>
          <w:sz w:val="24"/>
          <w:szCs w:val="24"/>
        </w:rPr>
        <w:t>– αδυναμίες</w:t>
      </w:r>
      <w:bookmarkEnd w:id="48"/>
      <w:bookmarkEnd w:id="49"/>
      <w:bookmarkEnd w:id="50"/>
      <w:bookmarkEnd w:id="51"/>
      <w:r w:rsidR="006563C7">
        <w:rPr>
          <w:rFonts w:ascii="Arial" w:hAnsi="Arial" w:cs="Arial"/>
          <w:color w:val="auto"/>
          <w:sz w:val="24"/>
          <w:szCs w:val="24"/>
        </w:rPr>
        <w:t xml:space="preserve"> </w:t>
      </w:r>
    </w:p>
    <w:p w:rsidR="006563C7" w:rsidRPr="006563C7" w:rsidRDefault="006563C7" w:rsidP="006563C7">
      <w:pPr>
        <w:jc w:val="both"/>
        <w:rPr>
          <w:rFonts w:ascii="Arial" w:hAnsi="Arial" w:cs="Arial"/>
        </w:rPr>
      </w:pPr>
    </w:p>
    <w:p w:rsidR="006563C7" w:rsidRDefault="006563C7" w:rsidP="006563C7">
      <w:pPr>
        <w:jc w:val="both"/>
        <w:rPr>
          <w:rFonts w:ascii="Arial" w:hAnsi="Arial" w:cs="Arial"/>
        </w:rPr>
      </w:pPr>
      <w:r w:rsidRPr="006563C7">
        <w:rPr>
          <w:rFonts w:ascii="Arial" w:hAnsi="Arial" w:cs="Arial"/>
        </w:rPr>
        <w:t>Κατ</w:t>
      </w:r>
      <w:r>
        <w:rPr>
          <w:rFonts w:ascii="Arial" w:hAnsi="Arial" w:cs="Arial"/>
        </w:rPr>
        <w:t>ά τη διοικητική παρακολούθηση της υλοποίησης του προγράμματος παρατηρήθηκαν ορισμένα προβλήματα που κρίνεται σκόπιμο να αναφερθούν προκειμένου να ληφθούν υπόψη στο σχεδιασμό μελλοντικών δράσεων υποστήριξης της εξωστρέφειας των ελληνικών επιχειρήσεων. Ειδικότερα:</w:t>
      </w:r>
    </w:p>
    <w:p w:rsidR="001C3B94" w:rsidRDefault="00CF37C8" w:rsidP="006563C7">
      <w:pPr>
        <w:pStyle w:val="a3"/>
        <w:numPr>
          <w:ilvl w:val="0"/>
          <w:numId w:val="13"/>
        </w:numPr>
        <w:jc w:val="both"/>
        <w:rPr>
          <w:rFonts w:ascii="Arial" w:hAnsi="Arial" w:cs="Arial"/>
        </w:rPr>
      </w:pPr>
      <w:r>
        <w:rPr>
          <w:rFonts w:ascii="Arial" w:hAnsi="Arial" w:cs="Arial"/>
        </w:rPr>
        <w:t xml:space="preserve">Παρατηρήθηκαν αρκετές περιπτώσεις </w:t>
      </w:r>
      <w:proofErr w:type="spellStart"/>
      <w:r>
        <w:rPr>
          <w:rFonts w:ascii="Arial" w:hAnsi="Arial" w:cs="Arial"/>
        </w:rPr>
        <w:t>απεντάξεων</w:t>
      </w:r>
      <w:proofErr w:type="spellEnd"/>
      <w:r>
        <w:rPr>
          <w:rFonts w:ascii="Arial" w:hAnsi="Arial" w:cs="Arial"/>
        </w:rPr>
        <w:t xml:space="preserve"> λόγω υπέρβασης του ορίου χρηματοδότησης που προβλέπεται στον Κανονισμό για τις ενισχύσεις ήσσονος σημασίας (</w:t>
      </w:r>
      <w:r>
        <w:rPr>
          <w:rFonts w:ascii="Arial" w:hAnsi="Arial" w:cs="Arial"/>
          <w:lang w:val="en-US"/>
        </w:rPr>
        <w:t>de</w:t>
      </w:r>
      <w:r w:rsidRPr="00CF37C8">
        <w:rPr>
          <w:rFonts w:ascii="Arial" w:hAnsi="Arial" w:cs="Arial"/>
        </w:rPr>
        <w:t xml:space="preserve"> </w:t>
      </w:r>
      <w:proofErr w:type="spellStart"/>
      <w:r>
        <w:rPr>
          <w:rFonts w:ascii="Arial" w:hAnsi="Arial" w:cs="Arial"/>
          <w:lang w:val="en-US"/>
        </w:rPr>
        <w:t>minimis</w:t>
      </w:r>
      <w:proofErr w:type="spellEnd"/>
      <w:r w:rsidRPr="00CF37C8">
        <w:rPr>
          <w:rFonts w:ascii="Arial" w:hAnsi="Arial" w:cs="Arial"/>
        </w:rPr>
        <w:t>)</w:t>
      </w:r>
      <w:r>
        <w:rPr>
          <w:rFonts w:ascii="Arial" w:hAnsi="Arial" w:cs="Arial"/>
        </w:rPr>
        <w:t xml:space="preserve"> και συγκεκριμένα, συνολικού ποσού 200.000 ευρώ το διάστημα των τελευταίων τριών ετών πριν τη χρηματοδότηση. Το πρόβλημα παρουσιάστηκε καθώς το πρόγραμμα «Εξωστρέφεια – Ανταγωνιστικότητα των επιχειρήσεων ΙΙ» εκδόθηκε στο πλαίσιο του Κανονισμού </w:t>
      </w:r>
      <w:r>
        <w:rPr>
          <w:rFonts w:ascii="Arial" w:hAnsi="Arial" w:cs="Arial"/>
          <w:lang w:val="en-US"/>
        </w:rPr>
        <w:t>de</w:t>
      </w:r>
      <w:r w:rsidRPr="00CF37C8">
        <w:rPr>
          <w:rFonts w:ascii="Arial" w:hAnsi="Arial" w:cs="Arial"/>
        </w:rPr>
        <w:t xml:space="preserve"> </w:t>
      </w:r>
      <w:proofErr w:type="spellStart"/>
      <w:r>
        <w:rPr>
          <w:rFonts w:ascii="Arial" w:hAnsi="Arial" w:cs="Arial"/>
          <w:lang w:val="en-US"/>
        </w:rPr>
        <w:t>minimis</w:t>
      </w:r>
      <w:proofErr w:type="spellEnd"/>
      <w:r>
        <w:rPr>
          <w:rFonts w:ascii="Arial" w:hAnsi="Arial" w:cs="Arial"/>
        </w:rPr>
        <w:t>, όπως και τα περισσότερα προγράμματα κρατικών ενισχύσεων του ΕΣΠΑ 207-2013 (πλην του προγράμματος «</w:t>
      </w:r>
      <w:r w:rsidR="001C3B94">
        <w:rPr>
          <w:rFonts w:ascii="Arial" w:hAnsi="Arial" w:cs="Arial"/>
        </w:rPr>
        <w:t>Μεταποίηση</w:t>
      </w:r>
      <w:r>
        <w:rPr>
          <w:rFonts w:ascii="Arial" w:hAnsi="Arial" w:cs="Arial"/>
        </w:rPr>
        <w:t xml:space="preserve"> στις νέες συνθήκες» που προκηρύχθηκε </w:t>
      </w:r>
      <w:r w:rsidR="001C3B94">
        <w:rPr>
          <w:rFonts w:ascii="Arial" w:hAnsi="Arial" w:cs="Arial"/>
        </w:rPr>
        <w:t>επίσης από τη Δ</w:t>
      </w:r>
      <w:r w:rsidR="00940569">
        <w:rPr>
          <w:rFonts w:ascii="Arial" w:hAnsi="Arial" w:cs="Arial"/>
        </w:rPr>
        <w:t xml:space="preserve">ιεύθυνση Στήριξης Μικρομεσαίων </w:t>
      </w:r>
      <w:proofErr w:type="spellStart"/>
      <w:r w:rsidR="00940569">
        <w:rPr>
          <w:rFonts w:ascii="Arial" w:hAnsi="Arial" w:cs="Arial"/>
        </w:rPr>
        <w:t>Επιχιερήσεων</w:t>
      </w:r>
      <w:proofErr w:type="spellEnd"/>
      <w:r w:rsidR="001C3B94">
        <w:rPr>
          <w:rFonts w:ascii="Arial" w:hAnsi="Arial" w:cs="Arial"/>
        </w:rPr>
        <w:t xml:space="preserve"> της ΓΓΒ </w:t>
      </w:r>
      <w:r>
        <w:rPr>
          <w:rFonts w:ascii="Arial" w:hAnsi="Arial" w:cs="Arial"/>
        </w:rPr>
        <w:t>αποκλειστικά στο πλαίσιο του Απαλλακτικού Κανονισμού 800/2008).</w:t>
      </w:r>
      <w:r w:rsidRPr="00CF37C8">
        <w:rPr>
          <w:rFonts w:ascii="Arial" w:hAnsi="Arial" w:cs="Arial"/>
        </w:rPr>
        <w:t xml:space="preserve"> </w:t>
      </w:r>
      <w:r w:rsidR="001C3B94">
        <w:rPr>
          <w:rFonts w:ascii="Arial" w:hAnsi="Arial" w:cs="Arial"/>
        </w:rPr>
        <w:t xml:space="preserve">Το πλαίσιο του Κανονισμού </w:t>
      </w:r>
      <w:r w:rsidR="001C3B94">
        <w:rPr>
          <w:rFonts w:ascii="Arial" w:hAnsi="Arial" w:cs="Arial"/>
          <w:lang w:val="en-US"/>
        </w:rPr>
        <w:t>de</w:t>
      </w:r>
      <w:r w:rsidR="001C3B94" w:rsidRPr="001C3B94">
        <w:rPr>
          <w:rFonts w:ascii="Arial" w:hAnsi="Arial" w:cs="Arial"/>
        </w:rPr>
        <w:t xml:space="preserve"> </w:t>
      </w:r>
      <w:proofErr w:type="spellStart"/>
      <w:r w:rsidR="001C3B94">
        <w:rPr>
          <w:rFonts w:ascii="Arial" w:hAnsi="Arial" w:cs="Arial"/>
          <w:lang w:val="en-US"/>
        </w:rPr>
        <w:t>minimis</w:t>
      </w:r>
      <w:proofErr w:type="spellEnd"/>
      <w:r w:rsidR="001C3B94" w:rsidRPr="001C3B94">
        <w:rPr>
          <w:rFonts w:ascii="Arial" w:hAnsi="Arial" w:cs="Arial"/>
        </w:rPr>
        <w:t xml:space="preserve"> </w:t>
      </w:r>
      <w:r w:rsidR="001C3B94">
        <w:rPr>
          <w:rFonts w:ascii="Arial" w:hAnsi="Arial" w:cs="Arial"/>
        </w:rPr>
        <w:t>παρέχει τη δυνατότητα ελεύθερου προσδιορισμού των ποσοστών επιδότησης ανά μέγεθος των επιχειρήσεων, όμως δημιουργούνται σοβαρά ζητήματα σώρευσης των ενισχύσεων με άλλα προγράμματα που έχουν προκηρυχθεί από την ίδια ή από άλλες υπηρεσίες στο πλαίσιο του ίδιου κανονισμού.</w:t>
      </w:r>
    </w:p>
    <w:p w:rsidR="001C3B94" w:rsidRDefault="001C3B94" w:rsidP="006563C7">
      <w:pPr>
        <w:pStyle w:val="a3"/>
        <w:numPr>
          <w:ilvl w:val="0"/>
          <w:numId w:val="13"/>
        </w:numPr>
        <w:jc w:val="both"/>
        <w:rPr>
          <w:rFonts w:ascii="Arial" w:hAnsi="Arial" w:cs="Arial"/>
        </w:rPr>
      </w:pPr>
      <w:r>
        <w:rPr>
          <w:rFonts w:ascii="Arial" w:hAnsi="Arial" w:cs="Arial"/>
        </w:rPr>
        <w:t xml:space="preserve">Υπήρξε καθυστέρηση την υποβολή των απαιτούμενων αδειών λειτουργίας οι οποίες σύμφωνα με τον Οδηγό Εφαρμογής πρέπει να περιλαμβάνουν τα μηχανήματα/εξοπλισμό που έχει αγορασθεί από τους δικαιούχους στο πλαίσιο του προγράμματος. Παρατηρήθηκε επίσης το φαινόμενο τροποποίησης των υφιστάμενων αδειών λειτουργίας λόγω της συμμετοχής των δικαιούχων επιχειρήσεων και σε άλλα προγράμματα κρατικών ενισχύσεων ή/και στον Αναπτυξιακό Νόμο. Το θέμα αφορά κυρίως τις μεταποιητικές επιχειρήσεις και οδήγησε σε </w:t>
      </w:r>
      <w:proofErr w:type="spellStart"/>
      <w:r>
        <w:rPr>
          <w:rFonts w:ascii="Arial" w:hAnsi="Arial" w:cs="Arial"/>
        </w:rPr>
        <w:t>απεντάξεις</w:t>
      </w:r>
      <w:proofErr w:type="spellEnd"/>
      <w:r>
        <w:rPr>
          <w:rFonts w:ascii="Arial" w:hAnsi="Arial" w:cs="Arial"/>
        </w:rPr>
        <w:t xml:space="preserve"> κι επιστροφές </w:t>
      </w:r>
      <w:proofErr w:type="spellStart"/>
      <w:r>
        <w:rPr>
          <w:rFonts w:ascii="Arial" w:hAnsi="Arial" w:cs="Arial"/>
        </w:rPr>
        <w:t>ληφθεισών</w:t>
      </w:r>
      <w:proofErr w:type="spellEnd"/>
      <w:r>
        <w:rPr>
          <w:rFonts w:ascii="Arial" w:hAnsi="Arial" w:cs="Arial"/>
        </w:rPr>
        <w:t xml:space="preserve"> επιχορηγήσεων με τη διαδικασία των </w:t>
      </w:r>
      <w:proofErr w:type="spellStart"/>
      <w:r>
        <w:rPr>
          <w:rFonts w:ascii="Arial" w:hAnsi="Arial" w:cs="Arial"/>
        </w:rPr>
        <w:t>αχρεωστήτως</w:t>
      </w:r>
      <w:proofErr w:type="spellEnd"/>
      <w:r>
        <w:rPr>
          <w:rFonts w:ascii="Arial" w:hAnsi="Arial" w:cs="Arial"/>
        </w:rPr>
        <w:t xml:space="preserve"> καταβληθέντων.</w:t>
      </w:r>
    </w:p>
    <w:p w:rsidR="006563C7" w:rsidRDefault="00940569" w:rsidP="006563C7">
      <w:pPr>
        <w:pStyle w:val="a3"/>
        <w:numPr>
          <w:ilvl w:val="0"/>
          <w:numId w:val="13"/>
        </w:numPr>
        <w:jc w:val="both"/>
        <w:rPr>
          <w:rFonts w:ascii="Arial" w:hAnsi="Arial" w:cs="Arial"/>
        </w:rPr>
      </w:pPr>
      <w:r>
        <w:rPr>
          <w:rFonts w:ascii="Arial" w:hAnsi="Arial" w:cs="Arial"/>
        </w:rPr>
        <w:t xml:space="preserve">Με αντίστοιχες αποφάσεις της διοίκησης δόθηκαν δύο </w:t>
      </w:r>
      <w:r w:rsidR="00113C44">
        <w:rPr>
          <w:rFonts w:ascii="Arial" w:hAnsi="Arial" w:cs="Arial"/>
        </w:rPr>
        <w:t xml:space="preserve">(2) </w:t>
      </w:r>
      <w:r>
        <w:rPr>
          <w:rFonts w:ascii="Arial" w:hAnsi="Arial" w:cs="Arial"/>
        </w:rPr>
        <w:t xml:space="preserve">συνολικά παρατάσεις στη διάρκεια υλοποίησης των επενδυτικών έργων, αρχικά στους 18 μήνες και τελικά, στους 21 μήνες και συγκεκριμένα, έως τις 30-12-2015 η οποία ήταν η ημερομηνία </w:t>
      </w:r>
      <w:proofErr w:type="spellStart"/>
      <w:r>
        <w:rPr>
          <w:rFonts w:ascii="Arial" w:hAnsi="Arial" w:cs="Arial"/>
        </w:rPr>
        <w:t>επιλεξιμότητας</w:t>
      </w:r>
      <w:proofErr w:type="spellEnd"/>
      <w:r>
        <w:rPr>
          <w:rFonts w:ascii="Arial" w:hAnsi="Arial" w:cs="Arial"/>
        </w:rPr>
        <w:t xml:space="preserve"> δαπανών ΕΣΠΑ 2007-2013. Οι παρατάσεις δόθηκαν μετά από αντίστοιχα αιτήματα των παραγωγικών φορέων των επιχειρήσεων και του ΕΦΕΠΑΕ</w:t>
      </w:r>
      <w:r w:rsidR="00D123F5">
        <w:rPr>
          <w:rFonts w:ascii="Arial" w:hAnsi="Arial" w:cs="Arial"/>
        </w:rPr>
        <w:t xml:space="preserve"> και στο πλαίσιο τους επιλύθηκαν ζητήματα που α</w:t>
      </w:r>
      <w:r w:rsidR="00113C44">
        <w:rPr>
          <w:rFonts w:ascii="Arial" w:hAnsi="Arial" w:cs="Arial"/>
        </w:rPr>
        <w:t>φορούσαν κατά κύριο λόγο την έκ</w:t>
      </w:r>
      <w:r w:rsidR="00D123F5">
        <w:rPr>
          <w:rFonts w:ascii="Arial" w:hAnsi="Arial" w:cs="Arial"/>
        </w:rPr>
        <w:t>δ</w:t>
      </w:r>
      <w:r w:rsidR="00113C44">
        <w:rPr>
          <w:rFonts w:ascii="Arial" w:hAnsi="Arial" w:cs="Arial"/>
        </w:rPr>
        <w:t>οσ</w:t>
      </w:r>
      <w:r w:rsidR="00D123F5">
        <w:rPr>
          <w:rFonts w:ascii="Arial" w:hAnsi="Arial" w:cs="Arial"/>
        </w:rPr>
        <w:t xml:space="preserve">η των απαιτούμενων αδειών λειτουργίας που καθυστερούσαν να εκδοθούν όχι λόγω υπαιτιότητας των επενδυτών οι οποίες υπέβαλαν εμπρόθεσμα τα αιτήματά τους στις αρμόδιες </w:t>
      </w:r>
      <w:r w:rsidR="006F123F">
        <w:rPr>
          <w:rFonts w:ascii="Arial" w:hAnsi="Arial" w:cs="Arial"/>
        </w:rPr>
        <w:t xml:space="preserve">για την </w:t>
      </w:r>
      <w:proofErr w:type="spellStart"/>
      <w:r w:rsidR="006F123F">
        <w:rPr>
          <w:rFonts w:ascii="Arial" w:hAnsi="Arial" w:cs="Arial"/>
        </w:rPr>
        <w:t>αδειοδότηση</w:t>
      </w:r>
      <w:proofErr w:type="spellEnd"/>
      <w:r w:rsidR="00D123F5">
        <w:rPr>
          <w:rFonts w:ascii="Arial" w:hAnsi="Arial" w:cs="Arial"/>
        </w:rPr>
        <w:t xml:space="preserve"> υπηρεσίες, αλλά οι τελευταίες καθυστέρησαν να προχωρήσουν στις απαιτούμενες κατά περίπτωση διαδικασίες.</w:t>
      </w:r>
    </w:p>
    <w:p w:rsidR="00A30D9B" w:rsidRPr="00FE3A85" w:rsidRDefault="00FE3A85" w:rsidP="006563C7">
      <w:pPr>
        <w:pStyle w:val="a3"/>
        <w:numPr>
          <w:ilvl w:val="0"/>
          <w:numId w:val="13"/>
        </w:numPr>
        <w:jc w:val="both"/>
        <w:rPr>
          <w:rFonts w:ascii="Arial" w:hAnsi="Arial" w:cs="Arial"/>
        </w:rPr>
      </w:pPr>
      <w:r w:rsidRPr="00FE3A85">
        <w:rPr>
          <w:rFonts w:ascii="Arial" w:hAnsi="Arial" w:cs="Arial"/>
        </w:rPr>
        <w:t>Π</w:t>
      </w:r>
      <w:r w:rsidR="006F123F">
        <w:rPr>
          <w:rFonts w:ascii="Arial" w:hAnsi="Arial" w:cs="Arial"/>
        </w:rPr>
        <w:t>αρουσιάστηκε μεγάλος αριθμός εν</w:t>
      </w:r>
      <w:r w:rsidRPr="00FE3A85">
        <w:rPr>
          <w:rFonts w:ascii="Arial" w:hAnsi="Arial" w:cs="Arial"/>
        </w:rPr>
        <w:t>στάσεων</w:t>
      </w:r>
      <w:r>
        <w:rPr>
          <w:rFonts w:ascii="Arial" w:hAnsi="Arial" w:cs="Arial"/>
        </w:rPr>
        <w:t xml:space="preserve"> επί των αποτελεσμάτων της διαδικασίας  αξιολόγησης των αιτημάτων ένταξης. Συγκεκριμένα, υποβλήθηκαν 246 ενστάσεις, αριθμός που δεν είχε παρουσιαστεί ξανά σε προγράμματα κρατικών ενισχύσεων της υπηρεσίας. Οι υποβληθείσες ενστάσεις αποτ</w:t>
      </w:r>
      <w:r w:rsidR="004B0975">
        <w:rPr>
          <w:rFonts w:ascii="Arial" w:hAnsi="Arial" w:cs="Arial"/>
        </w:rPr>
        <w:t>έλεσαν</w:t>
      </w:r>
      <w:r>
        <w:rPr>
          <w:rFonts w:ascii="Arial" w:hAnsi="Arial" w:cs="Arial"/>
        </w:rPr>
        <w:t xml:space="preserve"> το </w:t>
      </w:r>
      <w:r w:rsidR="004B0975">
        <w:rPr>
          <w:rFonts w:ascii="Arial" w:hAnsi="Arial" w:cs="Arial"/>
        </w:rPr>
        <w:t>21,54% των συνολικά υποβληθέντων αιτημάτων ένταξης (1.142).</w:t>
      </w:r>
    </w:p>
    <w:p w:rsidR="00D123F5" w:rsidRDefault="00D123F5" w:rsidP="006563C7">
      <w:pPr>
        <w:pStyle w:val="a3"/>
        <w:numPr>
          <w:ilvl w:val="0"/>
          <w:numId w:val="13"/>
        </w:numPr>
        <w:jc w:val="both"/>
        <w:rPr>
          <w:rFonts w:ascii="Arial" w:hAnsi="Arial" w:cs="Arial"/>
        </w:rPr>
      </w:pPr>
      <w:r>
        <w:rPr>
          <w:rFonts w:ascii="Arial" w:hAnsi="Arial" w:cs="Arial"/>
        </w:rPr>
        <w:t xml:space="preserve">Παρατηρήθηκε σημαντική καθυστέρηση στην έκδοση των αποφάσεων αποδοχής των πρακτικών της Επιτροπής Παρακολούθησης και Παραλαβής </w:t>
      </w:r>
      <w:r w:rsidR="00C4300C">
        <w:rPr>
          <w:rFonts w:ascii="Arial" w:hAnsi="Arial" w:cs="Arial"/>
        </w:rPr>
        <w:t>επί των ενστάσεων (</w:t>
      </w:r>
      <w:proofErr w:type="spellStart"/>
      <w:r w:rsidR="00C4300C">
        <w:rPr>
          <w:rFonts w:ascii="Arial" w:hAnsi="Arial" w:cs="Arial"/>
        </w:rPr>
        <w:t>ενδικοφανείς</w:t>
      </w:r>
      <w:proofErr w:type="spellEnd"/>
      <w:r w:rsidR="00C4300C">
        <w:rPr>
          <w:rFonts w:ascii="Arial" w:hAnsi="Arial" w:cs="Arial"/>
        </w:rPr>
        <w:t xml:space="preserve"> προσφυγές), </w:t>
      </w:r>
      <w:r>
        <w:rPr>
          <w:rFonts w:ascii="Arial" w:hAnsi="Arial" w:cs="Arial"/>
        </w:rPr>
        <w:t xml:space="preserve">με βάση τα οποία ορισμένα επενδυτικά έργα αποφασίσθηκε να επαναξιολογηθούν ή δικαιώθηκαν ως προς περικοπές δαπανών οι οποίες τα είχαν οδηγήσει σε απόρριψη κατά το στάδιο αξιολόγησης των αιτημάτων ένταξης στο πρόγραμμα. </w:t>
      </w:r>
      <w:r w:rsidR="00C4300C">
        <w:rPr>
          <w:rFonts w:ascii="Arial" w:hAnsi="Arial" w:cs="Arial"/>
        </w:rPr>
        <w:t xml:space="preserve">Ειδικότερα, η Επιτροπή Παρακολούθησης συγκροτήθηκε δεκατρείς (13) μήνες μετά την έκδοση της προκήρυξης και του Οδηγού Εφαρμογής και έξι (6) μήνες μετά την έκδοση των συγκεντρωτικών αποτελεσμάτων της διαδικασίας αξιολόγησης του προγράμματος. Επιπλέον, ενώ η Επιτροπή Παρακολούθησης εξέτασε όλες τις αιτήματα (246 συνολικά)σε διάστημα 2½ μηνών, οι σχετικές αποφάσεις εκδόθηκαν τελικά στις 31 Μαρτίου 2015, ενώ είχαν προωθηθεί για υπογραφή στις αρχές Ιανουαρίου του ίδιου έτους κι </w:t>
      </w:r>
      <w:r w:rsidR="00113C44">
        <w:rPr>
          <w:rFonts w:ascii="Arial" w:hAnsi="Arial" w:cs="Arial"/>
        </w:rPr>
        <w:t>αφού</w:t>
      </w:r>
      <w:r w:rsidR="00C4300C">
        <w:rPr>
          <w:rFonts w:ascii="Arial" w:hAnsi="Arial" w:cs="Arial"/>
        </w:rPr>
        <w:t xml:space="preserve"> προηγουμένως (τέλη Δεκεμβρίου 2014) είχαν προκηρυχθεί βουλευτικές εκλογές.</w:t>
      </w:r>
    </w:p>
    <w:p w:rsidR="00A30D9B" w:rsidRDefault="00A30D9B" w:rsidP="006563C7">
      <w:pPr>
        <w:pStyle w:val="a3"/>
        <w:numPr>
          <w:ilvl w:val="0"/>
          <w:numId w:val="13"/>
        </w:numPr>
        <w:jc w:val="both"/>
        <w:rPr>
          <w:rFonts w:ascii="Arial" w:hAnsi="Arial" w:cs="Arial"/>
        </w:rPr>
      </w:pPr>
      <w:r>
        <w:rPr>
          <w:rFonts w:ascii="Arial" w:hAnsi="Arial" w:cs="Arial"/>
        </w:rPr>
        <w:t xml:space="preserve">Συνυφασμένο με την παραπάνω καθυστέρηση είναι και το πρόβλημα που αφορά τις πληρωμές τεσσάρων (4) επενδυτικών έργων που εντάχθηκαν καθυστερημένα (συγκεκριμένα, τον Ιούλιο 2015) στο πρόγραμμα  μετά τη διαδικασία εξέτασης των ενστάσεων και τα οποία ολοκληρώθηκαν μετά την ημερομηνία </w:t>
      </w:r>
      <w:proofErr w:type="spellStart"/>
      <w:r>
        <w:rPr>
          <w:rFonts w:ascii="Arial" w:hAnsi="Arial" w:cs="Arial"/>
        </w:rPr>
        <w:t>επιλεξιμότητας</w:t>
      </w:r>
      <w:proofErr w:type="spellEnd"/>
      <w:r>
        <w:rPr>
          <w:rFonts w:ascii="Arial" w:hAnsi="Arial" w:cs="Arial"/>
        </w:rPr>
        <w:t xml:space="preserve"> δαπανών ΕΣΠΑ 2007-2013 (30-12-2015) τον Απρίλιο 2017, αφού υλοποιήθηκαν με τους ίδιους όρους που ίσχυαν και για τους υπόλοιπους δικαιούχους (δηλαδή, με διάρκεια υλοποίησης που έφθασε συνολικά τους 21 μήνες). Τα εν λόγω έργα αποφασίσθηκε να ενταχθούν στο πρόγραμμα με τους ίδιους όρους με τα υπόλοιπα ενταγμένα έργα, καθώς δεν αποτελούσε υπαιτιότητα των επιχειρήσεων η καθυστερημένη εξέταση και λήψης απόφασης σχετικά με τις ενστάσεις τους επί των αποτελεσμάτων αξιολόγησης των αιτημάτων ένταξης στο πρόγραμμα.</w:t>
      </w:r>
    </w:p>
    <w:p w:rsidR="00242E72" w:rsidRDefault="00242E72" w:rsidP="006563C7">
      <w:pPr>
        <w:pStyle w:val="a3"/>
        <w:numPr>
          <w:ilvl w:val="0"/>
          <w:numId w:val="13"/>
        </w:numPr>
        <w:jc w:val="both"/>
        <w:rPr>
          <w:rFonts w:ascii="Arial" w:hAnsi="Arial" w:cs="Arial"/>
        </w:rPr>
      </w:pPr>
      <w:r>
        <w:rPr>
          <w:rFonts w:ascii="Arial" w:hAnsi="Arial" w:cs="Arial"/>
        </w:rPr>
        <w:t>Στον Οδηγό Εφαρμογής δεν προβλέφθηκε Επιτροπή Εξέτασης Ενστάσεων, αλλά μόνο Επιτροπή Παρακολούθησης και Παραλαβής του προγράμματος, η οποία πέραν της παρακολούθησης ανέλαβε και την εξέταση των ενστάσεων.</w:t>
      </w:r>
    </w:p>
    <w:p w:rsidR="003801A0" w:rsidRDefault="003801A0" w:rsidP="006563C7">
      <w:pPr>
        <w:pStyle w:val="a3"/>
        <w:numPr>
          <w:ilvl w:val="0"/>
          <w:numId w:val="13"/>
        </w:numPr>
        <w:jc w:val="both"/>
        <w:rPr>
          <w:rFonts w:ascii="Arial" w:hAnsi="Arial" w:cs="Arial"/>
        </w:rPr>
      </w:pPr>
      <w:r>
        <w:rPr>
          <w:rFonts w:ascii="Arial" w:hAnsi="Arial" w:cs="Arial"/>
        </w:rPr>
        <w:t xml:space="preserve">Στη σύνθεση της Επιτροπής Παρακολούθησης και Παραλαβής, πέραν του προέδρου και ενός μέλους που προέρχονταν από τη Διεύθυνση Στήριξης Μικρομεσαίων Επιχειρήσεων της ΓΓΒ, ορίσθηκαν επιπλέον τρία (3) μέλη από τον ΕΦΕΠΑΕ, οι οποίοι όμως εργάζονταν σε διαφορετικούς εταίρους του ΕΦΕΠΑΕ και σε διαφορετικές περιφέρειες της χώρας. Αυτό είχε ως αποτέλεσμα να δυσχεραίνεται η διαδικασία σύγκλησης της Επιτροπής και οι συνεδριάσεις της και να επιβαρύνεται οικονομικά ο Π/Υ των εταίρων του ΕΦΕΠΑΕ για την κάλυψη των εξόδων μετακίνησης και διαμονής των μελών του ΕΦΕΠΑΕ.  </w:t>
      </w:r>
    </w:p>
    <w:p w:rsidR="00082087" w:rsidRPr="0054136D" w:rsidRDefault="00242E72" w:rsidP="00A30D9B">
      <w:pPr>
        <w:pStyle w:val="a3"/>
        <w:numPr>
          <w:ilvl w:val="0"/>
          <w:numId w:val="13"/>
        </w:numPr>
        <w:tabs>
          <w:tab w:val="left" w:pos="4108"/>
        </w:tabs>
        <w:jc w:val="both"/>
        <w:rPr>
          <w:rFonts w:ascii="Arial" w:hAnsi="Arial" w:cs="Arial"/>
        </w:rPr>
      </w:pPr>
      <w:r w:rsidRPr="0054136D">
        <w:rPr>
          <w:rFonts w:ascii="Arial" w:hAnsi="Arial" w:cs="Arial"/>
        </w:rPr>
        <w:t xml:space="preserve">Δεν καθορίσθηκε συγκεκριμένη διαδικασία σχετικά με τον έλεγχο τήρησης των υποχρεώσεων των δικαιούχων μετά την ολοκλήρωση των επενδυτικών έργων και ειδικότερα, ποια είναι αρμόδια υπηρεσία. Ο Οδηγός Εφαρμογής καθορίζει στο Κεφ. 15.1 ότι οι φάκελοι των έργων </w:t>
      </w:r>
      <w:r w:rsidR="0054136D" w:rsidRPr="0054136D">
        <w:rPr>
          <w:rFonts w:ascii="Arial" w:hAnsi="Arial" w:cs="Arial"/>
        </w:rPr>
        <w:t xml:space="preserve">μεταφέρονται από τον ΕΦΕΠΑΕ στην ΕΥΔ </w:t>
      </w:r>
      <w:proofErr w:type="spellStart"/>
      <w:r w:rsidR="0054136D" w:rsidRPr="0054136D">
        <w:rPr>
          <w:rFonts w:ascii="Arial" w:hAnsi="Arial" w:cs="Arial"/>
        </w:rPr>
        <w:t>ΕΠΑνΕΚ</w:t>
      </w:r>
      <w:proofErr w:type="spellEnd"/>
      <w:r w:rsidR="0054136D" w:rsidRPr="0054136D">
        <w:rPr>
          <w:rFonts w:ascii="Arial" w:hAnsi="Arial" w:cs="Arial"/>
        </w:rPr>
        <w:t xml:space="preserve"> μετά τη λήξη της μεταξύ τους σύμβασης, ενώ αναφέρει </w:t>
      </w:r>
      <w:r w:rsidRPr="0054136D">
        <w:rPr>
          <w:rFonts w:ascii="Arial" w:hAnsi="Arial" w:cs="Arial"/>
        </w:rPr>
        <w:t xml:space="preserve">τα </w:t>
      </w:r>
      <w:r w:rsidR="0054136D" w:rsidRPr="0054136D">
        <w:rPr>
          <w:rFonts w:ascii="Arial" w:hAnsi="Arial" w:cs="Arial"/>
        </w:rPr>
        <w:t xml:space="preserve">απαιτούμενα προς υποβολή </w:t>
      </w:r>
      <w:r w:rsidR="0054136D">
        <w:rPr>
          <w:rFonts w:ascii="Arial" w:hAnsi="Arial" w:cs="Arial"/>
        </w:rPr>
        <w:t xml:space="preserve">από τους δικαιούχους </w:t>
      </w:r>
      <w:r w:rsidR="0054136D" w:rsidRPr="0054136D">
        <w:rPr>
          <w:rFonts w:ascii="Arial" w:hAnsi="Arial" w:cs="Arial"/>
        </w:rPr>
        <w:t>δικαιολογητικά</w:t>
      </w:r>
      <w:r w:rsidR="0054136D">
        <w:rPr>
          <w:rFonts w:ascii="Arial" w:hAnsi="Arial" w:cs="Arial"/>
        </w:rPr>
        <w:t xml:space="preserve"> για τον έλεγχο της τήρησης των υποχρεώσεών τους</w:t>
      </w:r>
      <w:r w:rsidRPr="0054136D">
        <w:rPr>
          <w:rFonts w:ascii="Arial" w:hAnsi="Arial" w:cs="Arial"/>
        </w:rPr>
        <w:t xml:space="preserve"> μετ</w:t>
      </w:r>
      <w:r w:rsidR="0054136D">
        <w:rPr>
          <w:rFonts w:ascii="Arial" w:hAnsi="Arial" w:cs="Arial"/>
        </w:rPr>
        <w:t xml:space="preserve">ά την ολοκλήρωση. Όμως, δεν έχει καθορισθεί η διαδικασία ελέγχου της τήρησης των υποχρεώσεων (ποια υπηρεσία είναι αρμόδια, με ποιον τρόπο θα γίνεται κλπ). </w:t>
      </w:r>
      <w:r w:rsidR="00A30D9B" w:rsidRPr="0054136D">
        <w:rPr>
          <w:rFonts w:ascii="Arial" w:hAnsi="Arial" w:cs="Arial"/>
        </w:rPr>
        <w:tab/>
      </w:r>
    </w:p>
    <w:p w:rsidR="00082087" w:rsidRDefault="00E37102" w:rsidP="00082087">
      <w:pPr>
        <w:jc w:val="both"/>
        <w:rPr>
          <w:rFonts w:ascii="Arial" w:hAnsi="Arial" w:cs="Arial"/>
        </w:rPr>
      </w:pPr>
      <w:r>
        <w:rPr>
          <w:rFonts w:ascii="Arial" w:hAnsi="Arial" w:cs="Arial"/>
        </w:rPr>
        <w:t xml:space="preserve">    </w:t>
      </w:r>
    </w:p>
    <w:p w:rsidR="00307601" w:rsidRPr="009F264F" w:rsidRDefault="00307601" w:rsidP="00307601">
      <w:pPr>
        <w:pStyle w:val="1"/>
        <w:rPr>
          <w:rFonts w:ascii="Arial" w:hAnsi="Arial" w:cs="Arial"/>
          <w:color w:val="auto"/>
          <w:sz w:val="24"/>
          <w:szCs w:val="24"/>
        </w:rPr>
      </w:pPr>
      <w:bookmarkStart w:id="52" w:name="_Toc498075050"/>
      <w:bookmarkStart w:id="53" w:name="_Toc498076233"/>
      <w:bookmarkStart w:id="54" w:name="_Toc498076447"/>
      <w:bookmarkStart w:id="55" w:name="_Toc498076515"/>
      <w:r w:rsidRPr="009F264F">
        <w:rPr>
          <w:rFonts w:ascii="Arial" w:hAnsi="Arial" w:cs="Arial"/>
          <w:color w:val="auto"/>
          <w:sz w:val="24"/>
          <w:szCs w:val="24"/>
        </w:rPr>
        <w:t>Επίλογος</w:t>
      </w:r>
      <w:bookmarkEnd w:id="52"/>
      <w:bookmarkEnd w:id="53"/>
      <w:bookmarkEnd w:id="54"/>
      <w:bookmarkEnd w:id="55"/>
    </w:p>
    <w:p w:rsidR="00307601" w:rsidRDefault="00307601">
      <w:pPr>
        <w:rPr>
          <w:rFonts w:ascii="Arial" w:hAnsi="Arial" w:cs="Arial"/>
        </w:rPr>
      </w:pPr>
    </w:p>
    <w:p w:rsidR="005E4101" w:rsidRDefault="005E4101" w:rsidP="00307601">
      <w:pPr>
        <w:jc w:val="both"/>
        <w:rPr>
          <w:rFonts w:ascii="Arial" w:hAnsi="Arial" w:cs="Arial"/>
        </w:rPr>
      </w:pPr>
      <w:r>
        <w:rPr>
          <w:rFonts w:ascii="Arial" w:hAnsi="Arial" w:cs="Arial"/>
        </w:rPr>
        <w:t xml:space="preserve">Το πρόγραμμα «Εξωστρέφεια -Ανταγωνιστικότητα των επιχειρήσεων ΙΙ» αποτέλεσε συνέχεια του πρώτου κύκλου (Εξωστρέφεια Ι) με σημαντικές όμως βελτιώσεις ως προς την </w:t>
      </w:r>
      <w:proofErr w:type="spellStart"/>
      <w:r>
        <w:rPr>
          <w:rFonts w:ascii="Arial" w:hAnsi="Arial" w:cs="Arial"/>
        </w:rPr>
        <w:t>επιλεξιμότητα</w:t>
      </w:r>
      <w:proofErr w:type="spellEnd"/>
      <w:r>
        <w:rPr>
          <w:rFonts w:ascii="Arial" w:hAnsi="Arial" w:cs="Arial"/>
        </w:rPr>
        <w:t xml:space="preserve"> των δαπανών για προμήθεια μηχανολογικού εξοπλισμού, τις συνεργασίες μεταξύ επιχειρήσεων που ανήκουν σε διαφορετικές κατηγορίες και </w:t>
      </w:r>
      <w:r w:rsidR="00581274">
        <w:rPr>
          <w:rFonts w:ascii="Arial" w:hAnsi="Arial" w:cs="Arial"/>
        </w:rPr>
        <w:t>κλάδους</w:t>
      </w:r>
      <w:r>
        <w:rPr>
          <w:rFonts w:ascii="Arial" w:hAnsi="Arial" w:cs="Arial"/>
        </w:rPr>
        <w:t xml:space="preserve"> και τα ποσοστά ενίσχυσης. </w:t>
      </w:r>
      <w:r w:rsidR="00581274">
        <w:rPr>
          <w:rFonts w:ascii="Arial" w:hAnsi="Arial" w:cs="Arial"/>
        </w:rPr>
        <w:t xml:space="preserve">Ολοκληρώθηκαν επενδυτικά σχέδια σε ποσοστό 55% των εντάξεων, ενώ για το γεγονός της </w:t>
      </w:r>
      <w:proofErr w:type="spellStart"/>
      <w:r w:rsidR="00581274">
        <w:rPr>
          <w:rFonts w:ascii="Arial" w:hAnsi="Arial" w:cs="Arial"/>
        </w:rPr>
        <w:t>απένταξης</w:t>
      </w:r>
      <w:proofErr w:type="spellEnd"/>
      <w:r w:rsidR="00581274">
        <w:rPr>
          <w:rFonts w:ascii="Arial" w:hAnsi="Arial" w:cs="Arial"/>
        </w:rPr>
        <w:t xml:space="preserve"> του υπόλοιπου 45 % των έργων δεν θα πρέπει να υποτιμηθεί το γεγονός ότι οι δικαιούχοι κλήθηκαν να τα υλοποιήσουν κατά τη διάρκεια της οξείας οικονομικής κρίσης κι επιπρόσθετα, των περιορισμών των ορών κεφαλαίων (</w:t>
      </w:r>
      <w:r w:rsidR="00581274">
        <w:rPr>
          <w:rFonts w:ascii="Arial" w:hAnsi="Arial" w:cs="Arial"/>
          <w:lang w:val="en-US"/>
        </w:rPr>
        <w:t>capital</w:t>
      </w:r>
      <w:r w:rsidR="00581274" w:rsidRPr="00581274">
        <w:rPr>
          <w:rFonts w:ascii="Arial" w:hAnsi="Arial" w:cs="Arial"/>
        </w:rPr>
        <w:t xml:space="preserve"> </w:t>
      </w:r>
      <w:r w:rsidR="00581274">
        <w:rPr>
          <w:rFonts w:ascii="Arial" w:hAnsi="Arial" w:cs="Arial"/>
          <w:lang w:val="en-US"/>
        </w:rPr>
        <w:t>controls</w:t>
      </w:r>
      <w:r w:rsidR="00581274" w:rsidRPr="00581274">
        <w:rPr>
          <w:rFonts w:ascii="Arial" w:hAnsi="Arial" w:cs="Arial"/>
        </w:rPr>
        <w:t xml:space="preserve">) </w:t>
      </w:r>
      <w:r w:rsidR="00476878">
        <w:rPr>
          <w:rFonts w:ascii="Arial" w:hAnsi="Arial" w:cs="Arial"/>
        </w:rPr>
        <w:t>π</w:t>
      </w:r>
      <w:r w:rsidR="00581274">
        <w:rPr>
          <w:rFonts w:ascii="Arial" w:hAnsi="Arial" w:cs="Arial"/>
        </w:rPr>
        <w:t>ου επιβλήθηκαν τον Ιούνιο 2015. Σε γενικές γραμμές, το πρόγραμμα</w:t>
      </w:r>
      <w:r>
        <w:rPr>
          <w:rFonts w:ascii="Arial" w:hAnsi="Arial" w:cs="Arial"/>
        </w:rPr>
        <w:t xml:space="preserve"> υλοποιήθηκε επιτυχώς, αν ληφθεί </w:t>
      </w:r>
      <w:r w:rsidR="00581274">
        <w:rPr>
          <w:rFonts w:ascii="Arial" w:hAnsi="Arial" w:cs="Arial"/>
        </w:rPr>
        <w:t xml:space="preserve">επιπλέον </w:t>
      </w:r>
      <w:r>
        <w:rPr>
          <w:rFonts w:ascii="Arial" w:hAnsi="Arial" w:cs="Arial"/>
        </w:rPr>
        <w:t>υπόψη</w:t>
      </w:r>
      <w:r w:rsidR="00581274">
        <w:rPr>
          <w:rFonts w:ascii="Arial" w:hAnsi="Arial" w:cs="Arial"/>
        </w:rPr>
        <w:t xml:space="preserve"> ότι ήταν το τελευταίο χρονικά πρόγραμμα του Επιχειρησιακού Προγράμματος «Ανταγωνιστικότητα – Επιχειρηματικότητα» που προκηρύχθηκε (Ιούλιος 2013) και μάλιστα, </w:t>
      </w:r>
      <w:r w:rsidR="00476878">
        <w:rPr>
          <w:rFonts w:ascii="Arial" w:hAnsi="Arial" w:cs="Arial"/>
        </w:rPr>
        <w:t xml:space="preserve">μέσα </w:t>
      </w:r>
      <w:r w:rsidR="00581274">
        <w:rPr>
          <w:rFonts w:ascii="Arial" w:hAnsi="Arial" w:cs="Arial"/>
        </w:rPr>
        <w:t xml:space="preserve">σε ιδιαίτερα αρνητικό </w:t>
      </w:r>
      <w:r w:rsidR="00476878">
        <w:rPr>
          <w:rFonts w:ascii="Arial" w:hAnsi="Arial" w:cs="Arial"/>
        </w:rPr>
        <w:t xml:space="preserve">επιχειρηματικό </w:t>
      </w:r>
      <w:r w:rsidR="00581274">
        <w:rPr>
          <w:rFonts w:ascii="Arial" w:hAnsi="Arial" w:cs="Arial"/>
        </w:rPr>
        <w:t xml:space="preserve">κλίμα λόγω της οικονομικής κρίσης. </w:t>
      </w:r>
    </w:p>
    <w:p w:rsidR="00307601" w:rsidRDefault="00307601" w:rsidP="00307601">
      <w:pPr>
        <w:jc w:val="both"/>
        <w:rPr>
          <w:rFonts w:ascii="Arial" w:hAnsi="Arial" w:cs="Arial"/>
        </w:rPr>
      </w:pPr>
      <w:r w:rsidRPr="00782797">
        <w:rPr>
          <w:rFonts w:ascii="Arial" w:hAnsi="Arial" w:cs="Arial"/>
        </w:rPr>
        <w:t>Τα στοιχεία που προκύπτουν από την εκ των υστέρων αξιολόγηση (</w:t>
      </w:r>
      <w:r w:rsidRPr="00782797">
        <w:rPr>
          <w:rFonts w:ascii="Arial" w:hAnsi="Arial" w:cs="Arial"/>
          <w:lang w:val="en-US"/>
        </w:rPr>
        <w:t>ex</w:t>
      </w:r>
      <w:r w:rsidRPr="00782797">
        <w:rPr>
          <w:rFonts w:ascii="Arial" w:hAnsi="Arial" w:cs="Arial"/>
        </w:rPr>
        <w:t>-</w:t>
      </w:r>
      <w:r w:rsidRPr="00782797">
        <w:rPr>
          <w:rFonts w:ascii="Arial" w:hAnsi="Arial" w:cs="Arial"/>
          <w:lang w:val="en-US"/>
        </w:rPr>
        <w:t>post</w:t>
      </w:r>
      <w:r w:rsidRPr="00782797">
        <w:rPr>
          <w:rFonts w:ascii="Arial" w:hAnsi="Arial" w:cs="Arial"/>
        </w:rPr>
        <w:t xml:space="preserve"> </w:t>
      </w:r>
      <w:r w:rsidRPr="00782797">
        <w:rPr>
          <w:rFonts w:ascii="Arial" w:hAnsi="Arial" w:cs="Arial"/>
          <w:lang w:val="en-US"/>
        </w:rPr>
        <w:t>evaluation</w:t>
      </w:r>
      <w:r w:rsidRPr="00782797">
        <w:rPr>
          <w:rFonts w:ascii="Arial" w:hAnsi="Arial" w:cs="Arial"/>
        </w:rPr>
        <w:t>) του προγράμματος επιβεβαιώνουν τη στρατηγική επιλογή στόχευσης σε τομείς και κλάδους με δυνατότητες ανάπτυξης του εξωστρεφούς προσανατολισμού τους</w:t>
      </w:r>
      <w:r>
        <w:rPr>
          <w:rFonts w:ascii="Arial" w:hAnsi="Arial" w:cs="Arial"/>
        </w:rPr>
        <w:t>,</w:t>
      </w:r>
      <w:r w:rsidRPr="00782797">
        <w:rPr>
          <w:rFonts w:ascii="Arial" w:hAnsi="Arial" w:cs="Arial"/>
        </w:rPr>
        <w:t xml:space="preserve"> όπως η μεταποίηση κι επ</w:t>
      </w:r>
      <w:r>
        <w:rPr>
          <w:rFonts w:ascii="Arial" w:hAnsi="Arial" w:cs="Arial"/>
        </w:rPr>
        <w:t xml:space="preserve">ιλεγμένοι υποστηρικτικοί σε αυτή κλάδοι των τομέων εμπορίου και υπηρεσιών. Το μεγαλύτερο μερίδιο σε όρους δημόσιας δαπάνης και επιχορηγούμενου Π/Υ απέσπασε ο τομέας της μεταποίησης, </w:t>
      </w:r>
      <w:r w:rsidRPr="00782797">
        <w:rPr>
          <w:rFonts w:ascii="Arial" w:hAnsi="Arial" w:cs="Arial"/>
        </w:rPr>
        <w:t xml:space="preserve">καθώς οι επιχειρήσεις του ανταποκρίθηκαν </w:t>
      </w:r>
      <w:r>
        <w:rPr>
          <w:rFonts w:ascii="Arial" w:hAnsi="Arial" w:cs="Arial"/>
        </w:rPr>
        <w:t xml:space="preserve">με σημαντική επάρκεια </w:t>
      </w:r>
      <w:r w:rsidRPr="00782797">
        <w:rPr>
          <w:rFonts w:ascii="Arial" w:hAnsi="Arial" w:cs="Arial"/>
        </w:rPr>
        <w:t xml:space="preserve">στις </w:t>
      </w:r>
      <w:r>
        <w:rPr>
          <w:rFonts w:ascii="Arial" w:hAnsi="Arial" w:cs="Arial"/>
        </w:rPr>
        <w:t xml:space="preserve">ιδιαίτερα αυξημένες </w:t>
      </w:r>
      <w:r w:rsidRPr="00782797">
        <w:rPr>
          <w:rFonts w:ascii="Arial" w:hAnsi="Arial" w:cs="Arial"/>
        </w:rPr>
        <w:t>απαιτήσεις υλοποίησης του προγράμματος</w:t>
      </w:r>
      <w:r>
        <w:rPr>
          <w:rFonts w:ascii="Arial" w:hAnsi="Arial" w:cs="Arial"/>
        </w:rPr>
        <w:t>,</w:t>
      </w:r>
      <w:r w:rsidRPr="00782797">
        <w:rPr>
          <w:rFonts w:ascii="Arial" w:hAnsi="Arial" w:cs="Arial"/>
        </w:rPr>
        <w:t xml:space="preserve"> καταφέρνοντας να ολοκληρώσουν τα επενδυτικά τους σχέδια σε μία εξαιρετικά δύσκολη για την ελληνική οικονομία συγκυρία.</w:t>
      </w:r>
    </w:p>
    <w:p w:rsidR="00113C44" w:rsidRDefault="00581274" w:rsidP="00307601">
      <w:pPr>
        <w:jc w:val="both"/>
        <w:rPr>
          <w:rFonts w:ascii="Arial" w:hAnsi="Arial" w:cs="Arial"/>
        </w:rPr>
      </w:pPr>
      <w:r>
        <w:rPr>
          <w:rFonts w:ascii="Arial" w:hAnsi="Arial" w:cs="Arial"/>
        </w:rPr>
        <w:t>Το σημαντικότερο ποσοστό των ενταγμένων επιχειρήσεων ανήκουν στην κατηγορία των πολύ μικρών και μικρών επιχειρήσεων, ενώ ακολουθούν οι μεσαίες ε</w:t>
      </w:r>
      <w:r w:rsidR="00037532">
        <w:rPr>
          <w:rFonts w:ascii="Arial" w:hAnsi="Arial" w:cs="Arial"/>
        </w:rPr>
        <w:t>πιχειρήσεις</w:t>
      </w:r>
      <w:r w:rsidR="00476878">
        <w:rPr>
          <w:rFonts w:ascii="Arial" w:hAnsi="Arial" w:cs="Arial"/>
        </w:rPr>
        <w:t>,</w:t>
      </w:r>
      <w:r w:rsidR="006F123F">
        <w:rPr>
          <w:rFonts w:ascii="Arial" w:hAnsi="Arial" w:cs="Arial"/>
        </w:rPr>
        <w:t xml:space="preserve"> οι οποίες όμως υπερτερούν,</w:t>
      </w:r>
      <w:r w:rsidR="00037532">
        <w:rPr>
          <w:rFonts w:ascii="Arial" w:hAnsi="Arial" w:cs="Arial"/>
        </w:rPr>
        <w:t xml:space="preserve"> τόσο σε όρους επιχο</w:t>
      </w:r>
      <w:r>
        <w:rPr>
          <w:rFonts w:ascii="Arial" w:hAnsi="Arial" w:cs="Arial"/>
        </w:rPr>
        <w:t xml:space="preserve">ρηγούμενου Π/Υ, όσο και σε όρους καταβληθείσας δημόσιας δαπάνης. </w:t>
      </w:r>
      <w:r w:rsidR="00037532">
        <w:rPr>
          <w:rFonts w:ascii="Arial" w:hAnsi="Arial" w:cs="Arial"/>
        </w:rPr>
        <w:t>Οι</w:t>
      </w:r>
      <w:r>
        <w:rPr>
          <w:rFonts w:ascii="Arial" w:hAnsi="Arial" w:cs="Arial"/>
        </w:rPr>
        <w:t xml:space="preserve"> μεγάλες επιχειρήσεις, </w:t>
      </w:r>
      <w:r w:rsidR="00037532">
        <w:rPr>
          <w:rFonts w:ascii="Arial" w:hAnsi="Arial" w:cs="Arial"/>
        </w:rPr>
        <w:t xml:space="preserve">παρόλο που ήταν λίγες σε αριθμό εντάξεων, είχαν σημαντικό μερίδιο </w:t>
      </w:r>
      <w:r w:rsidR="006F123F">
        <w:rPr>
          <w:rFonts w:ascii="Arial" w:hAnsi="Arial" w:cs="Arial"/>
        </w:rPr>
        <w:t>σ</w:t>
      </w:r>
      <w:r w:rsidR="00037532">
        <w:rPr>
          <w:rFonts w:ascii="Arial" w:hAnsi="Arial" w:cs="Arial"/>
        </w:rPr>
        <w:t xml:space="preserve">τον επιχορηγούμενο Π/Υ αλλά και σε σχέση με την καταβληθείσα δημόσια δαπάνη, ενώ ανήκαν κατά κύριο λόγο στον τομέα της μεταποίησης. </w:t>
      </w:r>
    </w:p>
    <w:p w:rsidR="00581274" w:rsidRDefault="00037532" w:rsidP="00307601">
      <w:pPr>
        <w:jc w:val="both"/>
        <w:rPr>
          <w:rFonts w:ascii="Arial" w:hAnsi="Arial" w:cs="Arial"/>
        </w:rPr>
      </w:pPr>
      <w:r>
        <w:rPr>
          <w:rFonts w:ascii="Arial" w:hAnsi="Arial" w:cs="Arial"/>
        </w:rPr>
        <w:t xml:space="preserve">Τέλος, το 80% των ενταγμένων έργων  υλοποιήθηκαν στις Περιφέρεις Αττικής και Κεντρικής Μακεδονίας, αναδεικνύοντας </w:t>
      </w:r>
      <w:r w:rsidR="0054065D">
        <w:rPr>
          <w:rFonts w:ascii="Arial" w:hAnsi="Arial" w:cs="Arial"/>
        </w:rPr>
        <w:t xml:space="preserve">για άλλη μια φορά </w:t>
      </w:r>
      <w:r>
        <w:rPr>
          <w:rFonts w:ascii="Arial" w:hAnsi="Arial" w:cs="Arial"/>
        </w:rPr>
        <w:t xml:space="preserve">το ζήτημα </w:t>
      </w:r>
      <w:r w:rsidR="00476878">
        <w:rPr>
          <w:rFonts w:ascii="Arial" w:hAnsi="Arial" w:cs="Arial"/>
        </w:rPr>
        <w:t xml:space="preserve">της </w:t>
      </w:r>
      <w:r>
        <w:rPr>
          <w:rFonts w:ascii="Arial" w:hAnsi="Arial" w:cs="Arial"/>
        </w:rPr>
        <w:t xml:space="preserve">έντονης χωρικής επιχειρηματικής συγκέντρωσης στις δύο αυτές περιφέρειες της χώρας.  </w:t>
      </w:r>
    </w:p>
    <w:p w:rsidR="00ED022D" w:rsidRDefault="00ED022D">
      <w:pPr>
        <w:rPr>
          <w:rFonts w:ascii="Arial" w:hAnsi="Arial" w:cs="Arial"/>
        </w:rPr>
      </w:pPr>
      <w:r>
        <w:rPr>
          <w:rFonts w:ascii="Arial" w:hAnsi="Arial" w:cs="Arial"/>
        </w:rPr>
        <w:br w:type="page"/>
      </w:r>
    </w:p>
    <w:p w:rsidR="00E222B5" w:rsidRDefault="00824980" w:rsidP="00824980">
      <w:pPr>
        <w:pStyle w:val="1"/>
        <w:rPr>
          <w:rFonts w:ascii="Arial" w:hAnsi="Arial" w:cs="Arial"/>
          <w:color w:val="auto"/>
          <w:sz w:val="24"/>
          <w:szCs w:val="24"/>
        </w:rPr>
      </w:pPr>
      <w:bookmarkStart w:id="56" w:name="_Toc498003150"/>
      <w:bookmarkStart w:id="57" w:name="_Toc498075051"/>
      <w:bookmarkStart w:id="58" w:name="_Toc498076234"/>
      <w:bookmarkStart w:id="59" w:name="_Toc498076448"/>
      <w:bookmarkStart w:id="60" w:name="_Toc498076516"/>
      <w:r w:rsidRPr="00824980">
        <w:rPr>
          <w:rFonts w:ascii="Arial" w:hAnsi="Arial" w:cs="Arial"/>
          <w:color w:val="auto"/>
          <w:sz w:val="24"/>
          <w:szCs w:val="24"/>
        </w:rPr>
        <w:t>Π</w:t>
      </w:r>
      <w:bookmarkEnd w:id="56"/>
      <w:bookmarkEnd w:id="57"/>
      <w:bookmarkEnd w:id="58"/>
      <w:r w:rsidR="004A1DE1">
        <w:rPr>
          <w:rFonts w:ascii="Arial" w:hAnsi="Arial" w:cs="Arial"/>
          <w:color w:val="auto"/>
          <w:sz w:val="24"/>
          <w:szCs w:val="24"/>
        </w:rPr>
        <w:t>αράρτημα</w:t>
      </w:r>
      <w:bookmarkEnd w:id="59"/>
      <w:bookmarkEnd w:id="60"/>
      <w:r w:rsidRPr="00824980">
        <w:rPr>
          <w:rFonts w:ascii="Arial" w:hAnsi="Arial" w:cs="Arial"/>
          <w:color w:val="auto"/>
          <w:sz w:val="24"/>
          <w:szCs w:val="24"/>
        </w:rPr>
        <w:t xml:space="preserve"> </w:t>
      </w:r>
    </w:p>
    <w:p w:rsidR="00824980" w:rsidRPr="00824980" w:rsidRDefault="00824980" w:rsidP="00824980"/>
    <w:tbl>
      <w:tblPr>
        <w:tblStyle w:val="31"/>
        <w:tblW w:w="0" w:type="auto"/>
        <w:tblLook w:val="04A0"/>
      </w:tblPr>
      <w:tblGrid>
        <w:gridCol w:w="405"/>
        <w:gridCol w:w="1614"/>
        <w:gridCol w:w="423"/>
        <w:gridCol w:w="527"/>
        <w:gridCol w:w="527"/>
        <w:gridCol w:w="602"/>
        <w:gridCol w:w="601"/>
        <w:gridCol w:w="601"/>
        <w:gridCol w:w="744"/>
        <w:gridCol w:w="744"/>
        <w:gridCol w:w="744"/>
        <w:gridCol w:w="640"/>
        <w:gridCol w:w="699"/>
        <w:gridCol w:w="699"/>
      </w:tblGrid>
      <w:tr w:rsidR="00E222B5" w:rsidRPr="00E222B5" w:rsidTr="00722BA0">
        <w:trPr>
          <w:cnfStyle w:val="100000000000"/>
          <w:trHeight w:val="300"/>
        </w:trPr>
        <w:tc>
          <w:tcPr>
            <w:cnfStyle w:val="001000000000"/>
            <w:tcW w:w="0" w:type="auto"/>
            <w:vMerge w:val="restart"/>
            <w:tcBorders>
              <w:top w:val="single" w:sz="4" w:space="0" w:color="auto"/>
              <w:left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Περιφέρεια</w:t>
            </w:r>
          </w:p>
        </w:tc>
        <w:tc>
          <w:tcPr>
            <w:tcW w:w="0" w:type="auto"/>
            <w:vMerge w:val="restart"/>
            <w:tcBorders>
              <w:top w:val="single" w:sz="4" w:space="0" w:color="auto"/>
              <w:left w:val="single" w:sz="4" w:space="0" w:color="auto"/>
              <w:right w:val="single" w:sz="4" w:space="0" w:color="auto"/>
            </w:tcBorders>
            <w:noWrap/>
            <w:vAlign w:val="center"/>
            <w:hideMark/>
          </w:tcPr>
          <w:p w:rsidR="00E222B5" w:rsidRPr="00E222B5" w:rsidRDefault="00E222B5" w:rsidP="00E222B5">
            <w:pPr>
              <w:spacing w:before="20" w:after="20"/>
              <w:jc w:val="center"/>
              <w:cnfStyle w:val="100000000000"/>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Μέγεθος</w:t>
            </w:r>
          </w:p>
        </w:tc>
        <w:tc>
          <w:tcPr>
            <w:tcW w:w="0" w:type="auto"/>
            <w:gridSpan w:val="3"/>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100000000000"/>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Έργα</w:t>
            </w:r>
          </w:p>
        </w:tc>
        <w:tc>
          <w:tcPr>
            <w:tcW w:w="0" w:type="auto"/>
            <w:gridSpan w:val="3"/>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100000000000"/>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Συνολικός Προϋπολογισμός</w:t>
            </w:r>
          </w:p>
        </w:tc>
        <w:tc>
          <w:tcPr>
            <w:tcW w:w="0" w:type="auto"/>
            <w:gridSpan w:val="3"/>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100000000000"/>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Επιχορηγούμενος Προϋπολογισμός</w:t>
            </w:r>
          </w:p>
        </w:tc>
        <w:tc>
          <w:tcPr>
            <w:tcW w:w="0" w:type="auto"/>
            <w:gridSpan w:val="3"/>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100000000000"/>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Δημόσια Δαπάνη Ολοκλήρωσης</w:t>
            </w:r>
          </w:p>
        </w:tc>
      </w:tr>
      <w:tr w:rsidR="00E222B5" w:rsidRPr="00E222B5" w:rsidTr="00722BA0">
        <w:trPr>
          <w:cnfStyle w:val="000000100000"/>
          <w:trHeight w:val="611"/>
        </w:trPr>
        <w:tc>
          <w:tcPr>
            <w:cnfStyle w:val="001000000000"/>
            <w:tcW w:w="0" w:type="auto"/>
            <w:vMerge/>
            <w:tcBorders>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rPr>
                <w:rFonts w:ascii="Arial" w:eastAsia="Times New Roman" w:hAnsi="Arial" w:cs="Arial"/>
                <w:b w:val="0"/>
                <w:color w:val="000000"/>
                <w:sz w:val="14"/>
                <w:szCs w:val="14"/>
                <w:lang w:eastAsia="el-GR"/>
              </w:rPr>
            </w:pPr>
          </w:p>
        </w:tc>
        <w:tc>
          <w:tcPr>
            <w:tcW w:w="0" w:type="auto"/>
            <w:vMerge/>
            <w:tcBorders>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Ν</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proofErr w:type="spellStart"/>
            <w:r w:rsidRPr="00E222B5">
              <w:rPr>
                <w:rFonts w:ascii="Arial" w:eastAsia="Times New Roman" w:hAnsi="Arial" w:cs="Arial"/>
                <w:b/>
                <w:bCs/>
                <w:color w:val="000000"/>
                <w:sz w:val="14"/>
                <w:szCs w:val="14"/>
                <w:lang w:eastAsia="el-GR"/>
              </w:rPr>
              <w:t>Περ</w:t>
            </w:r>
            <w:proofErr w:type="spellEnd"/>
            <w:r w:rsidRPr="00E222B5">
              <w:rPr>
                <w:rFonts w:ascii="Arial" w:eastAsia="Times New Roman" w:hAnsi="Arial" w:cs="Arial"/>
                <w:b/>
                <w:bCs/>
                <w:color w:val="000000"/>
                <w:sz w:val="14"/>
                <w:szCs w:val="14"/>
                <w:lang w:eastAsia="el-GR"/>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εκ. €</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proofErr w:type="spellStart"/>
            <w:r w:rsidRPr="00E222B5">
              <w:rPr>
                <w:rFonts w:ascii="Arial" w:eastAsia="Times New Roman" w:hAnsi="Arial" w:cs="Arial"/>
                <w:b/>
                <w:bCs/>
                <w:color w:val="000000"/>
                <w:sz w:val="14"/>
                <w:szCs w:val="14"/>
                <w:lang w:eastAsia="el-GR"/>
              </w:rPr>
              <w:t>Περ</w:t>
            </w:r>
            <w:proofErr w:type="spellEnd"/>
            <w:r w:rsidRPr="00E222B5">
              <w:rPr>
                <w:rFonts w:ascii="Arial" w:eastAsia="Times New Roman" w:hAnsi="Arial" w:cs="Arial"/>
                <w:b/>
                <w:bCs/>
                <w:color w:val="000000"/>
                <w:sz w:val="14"/>
                <w:szCs w:val="14"/>
                <w:lang w:eastAsia="el-GR"/>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εκ. €</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proofErr w:type="spellStart"/>
            <w:r w:rsidRPr="00E222B5">
              <w:rPr>
                <w:rFonts w:ascii="Arial" w:eastAsia="Times New Roman" w:hAnsi="Arial" w:cs="Arial"/>
                <w:b/>
                <w:bCs/>
                <w:color w:val="000000"/>
                <w:sz w:val="14"/>
                <w:szCs w:val="14"/>
                <w:lang w:eastAsia="el-GR"/>
              </w:rPr>
              <w:t>Περ</w:t>
            </w:r>
            <w:proofErr w:type="spellEnd"/>
            <w:r w:rsidRPr="00E222B5">
              <w:rPr>
                <w:rFonts w:ascii="Arial" w:eastAsia="Times New Roman" w:hAnsi="Arial" w:cs="Arial"/>
                <w:b/>
                <w:bCs/>
                <w:color w:val="000000"/>
                <w:sz w:val="14"/>
                <w:szCs w:val="14"/>
                <w:lang w:eastAsia="el-GR"/>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εκ. €</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w:t>
            </w:r>
          </w:p>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proofErr w:type="spellStart"/>
            <w:r w:rsidRPr="00E222B5">
              <w:rPr>
                <w:rFonts w:ascii="Arial" w:eastAsia="Times New Roman" w:hAnsi="Arial" w:cs="Arial"/>
                <w:b/>
                <w:bCs/>
                <w:color w:val="000000"/>
                <w:sz w:val="14"/>
                <w:szCs w:val="14"/>
                <w:lang w:eastAsia="el-GR"/>
              </w:rPr>
              <w:t>Περ</w:t>
            </w:r>
            <w:proofErr w:type="spellEnd"/>
            <w:r w:rsidRPr="00E222B5">
              <w:rPr>
                <w:rFonts w:ascii="Arial" w:eastAsia="Times New Roman" w:hAnsi="Arial" w:cs="Arial"/>
                <w:b/>
                <w:bCs/>
                <w:color w:val="000000"/>
                <w:sz w:val="14"/>
                <w:szCs w:val="14"/>
                <w:lang w:eastAsia="el-GR"/>
              </w:rPr>
              <w:t>.</w:t>
            </w:r>
          </w:p>
        </w:tc>
      </w:tr>
      <w:tr w:rsidR="00E222B5" w:rsidRPr="00E222B5" w:rsidTr="00722BA0">
        <w:trPr>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Αν. Μακεδονία &amp; Θράκη</w:t>
            </w:r>
          </w:p>
        </w:tc>
        <w:tc>
          <w:tcPr>
            <w:tcW w:w="0" w:type="auto"/>
            <w:tcBorders>
              <w:top w:val="single" w:sz="4" w:space="0" w:color="auto"/>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Μεγάλες</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0,41</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20</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0.35</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0,79</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31,8</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0.35</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0,82</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31,87</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0.10</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0,58</w:t>
            </w:r>
          </w:p>
        </w:tc>
        <w:tc>
          <w:tcPr>
            <w:tcW w:w="0" w:type="auto"/>
            <w:tcBorders>
              <w:top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23,98</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0,92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37,04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0,95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36,92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41,67</w:t>
            </w:r>
          </w:p>
        </w:tc>
      </w:tr>
      <w:tr w:rsidR="00E222B5" w:rsidRPr="00E222B5" w:rsidTr="00722BA0">
        <w:trPr>
          <w:trHeight w:val="484"/>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31,16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31,22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34,34</w:t>
            </w:r>
          </w:p>
        </w:tc>
      </w:tr>
      <w:tr w:rsidR="00E222B5" w:rsidRPr="00E222B5" w:rsidTr="00722BA0">
        <w:trPr>
          <w:cnfStyle w:val="000000100000"/>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Αττική</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Μεγάλες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3,49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7,02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2.22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10,96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2.03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4,76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10,59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3,37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7,56</w:t>
            </w:r>
          </w:p>
        </w:tc>
      </w:tr>
      <w:tr w:rsidR="00E222B5" w:rsidRPr="00E222B5" w:rsidTr="00722BA0">
        <w:trPr>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11,09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22,31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5.75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12,95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28,39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5.47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12,82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28,51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2.42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13,33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29,91</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171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35,11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70,66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12.28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27,68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60,65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11.69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27,38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60,9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5.05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27,88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62,54</w:t>
            </w:r>
          </w:p>
        </w:tc>
      </w:tr>
      <w:tr w:rsidR="00E222B5" w:rsidRPr="00E222B5" w:rsidTr="00722BA0">
        <w:trPr>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Βόρειο Αιγαίο</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32,97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32,97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33,08</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67,03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67,03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66,92</w:t>
            </w:r>
          </w:p>
        </w:tc>
      </w:tr>
      <w:tr w:rsidR="00E222B5" w:rsidRPr="00E222B5" w:rsidTr="00722BA0">
        <w:trPr>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Δυτική Ελλάδα</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Μεγάλες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14,29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28,73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28,96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21,37</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28,57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0,59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38,99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0,58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38,24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42,33</w:t>
            </w:r>
          </w:p>
        </w:tc>
      </w:tr>
      <w:tr w:rsidR="00E222B5" w:rsidRPr="00E222B5" w:rsidTr="00722BA0">
        <w:trPr>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57,14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32,28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32,8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0,53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36,3</w:t>
            </w:r>
          </w:p>
        </w:tc>
      </w:tr>
      <w:tr w:rsidR="00E222B5" w:rsidRPr="00E222B5" w:rsidTr="00722BA0">
        <w:trPr>
          <w:cnfStyle w:val="000000100000"/>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Δυτική Μακεδονία</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10,95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11,17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11,19</w:t>
            </w:r>
          </w:p>
        </w:tc>
      </w:tr>
      <w:tr w:rsidR="00E222B5" w:rsidRPr="00E222B5" w:rsidTr="00722BA0">
        <w:trPr>
          <w:trHeight w:val="856"/>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4,72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92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2.20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4,96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89,05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2.15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5,04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88,83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0.97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5,34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88,81</w:t>
            </w:r>
          </w:p>
        </w:tc>
      </w:tr>
      <w:tr w:rsidR="00E222B5" w:rsidRPr="00E222B5" w:rsidTr="00722BA0">
        <w:trPr>
          <w:cnfStyle w:val="000000100000"/>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Ήπειρος</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Μεγάλες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54,96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54,96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44,74</w:t>
            </w:r>
          </w:p>
        </w:tc>
      </w:tr>
      <w:tr w:rsidR="00E222B5" w:rsidRPr="00E222B5" w:rsidTr="00722BA0">
        <w:trPr>
          <w:trHeight w:val="674"/>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45,04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45,04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55,26</w:t>
            </w:r>
          </w:p>
        </w:tc>
      </w:tr>
      <w:tr w:rsidR="00E222B5" w:rsidRPr="00E222B5" w:rsidTr="00722BA0">
        <w:trPr>
          <w:cnfStyle w:val="000000100000"/>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Θεσσαλία</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Μεγάλες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14,33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14,72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10,32</w:t>
            </w:r>
          </w:p>
        </w:tc>
      </w:tr>
      <w:tr w:rsidR="00E222B5" w:rsidRPr="00E222B5" w:rsidTr="00722BA0">
        <w:trPr>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1,23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1,45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55,21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1,44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54,06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1,52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56,85</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0,62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30,47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31,23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32,84</w:t>
            </w:r>
          </w:p>
        </w:tc>
      </w:tr>
      <w:tr w:rsidR="00E222B5" w:rsidRPr="00E222B5" w:rsidTr="00722BA0">
        <w:trPr>
          <w:trHeight w:val="902"/>
        </w:trPr>
        <w:tc>
          <w:tcPr>
            <w:cnfStyle w:val="001000000000"/>
            <w:tcW w:w="0" w:type="auto"/>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Ιόνια Νησιά</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100</w:t>
            </w:r>
          </w:p>
        </w:tc>
      </w:tr>
      <w:tr w:rsidR="00E222B5" w:rsidRPr="00E222B5" w:rsidTr="00722BA0">
        <w:trPr>
          <w:cnfStyle w:val="000000100000"/>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Κεντρική Μακεδονία</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Μεγάλες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5,56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2,31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7,37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2,37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7,47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5,21</w:t>
            </w:r>
          </w:p>
        </w:tc>
      </w:tr>
      <w:tr w:rsidR="00E222B5" w:rsidRPr="00E222B5" w:rsidTr="00722BA0">
        <w:trPr>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4,11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13,89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2.65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5,97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19,03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2.59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6,06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19,09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6,22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19,33</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23,82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80,56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10.24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23,08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73,6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9.95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23,3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73,44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4.40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24,29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75,46</w:t>
            </w:r>
          </w:p>
        </w:tc>
      </w:tr>
      <w:tr w:rsidR="00E222B5" w:rsidRPr="00E222B5" w:rsidTr="00722BA0">
        <w:trPr>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Κρήτη</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8,33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10,41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0.10</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10,03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10,74</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2,26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91,67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0.90</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2,03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89,59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2,03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89,97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1,99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89,26</w:t>
            </w:r>
          </w:p>
        </w:tc>
      </w:tr>
      <w:tr w:rsidR="00E222B5" w:rsidRPr="00E222B5" w:rsidTr="00722BA0">
        <w:trPr>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roofErr w:type="spellStart"/>
            <w:r w:rsidRPr="00E222B5">
              <w:rPr>
                <w:rFonts w:ascii="Arial" w:eastAsia="Times New Roman" w:hAnsi="Arial" w:cs="Arial"/>
                <w:b w:val="0"/>
                <w:color w:val="000000"/>
                <w:sz w:val="14"/>
                <w:szCs w:val="14"/>
                <w:lang w:eastAsia="el-GR"/>
              </w:rPr>
              <w:t>Πελοπ</w:t>
            </w:r>
            <w:proofErr w:type="spellEnd"/>
            <w:r w:rsidRPr="00E222B5">
              <w:rPr>
                <w:rFonts w:ascii="Arial" w:eastAsia="Times New Roman" w:hAnsi="Arial" w:cs="Arial"/>
                <w:b w:val="0"/>
                <w:color w:val="000000"/>
                <w:sz w:val="14"/>
                <w:szCs w:val="14"/>
                <w:lang w:eastAsia="el-GR"/>
              </w:rPr>
              <w:t>/σος</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11,11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17,66</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14,18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0.05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15,29</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88,89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0.73</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82,34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1,67</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85,82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0.29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84,71</w:t>
            </w:r>
          </w:p>
        </w:tc>
      </w:tr>
      <w:tr w:rsidR="00E222B5" w:rsidRPr="00E222B5" w:rsidTr="00722BA0">
        <w:trPr>
          <w:trHeight w:val="300"/>
        </w:trPr>
        <w:tc>
          <w:tcPr>
            <w:cnfStyle w:val="001000000000"/>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E222B5" w:rsidRPr="00E222B5" w:rsidRDefault="00E222B5" w:rsidP="00E222B5">
            <w:pPr>
              <w:spacing w:before="20" w:after="20"/>
              <w:ind w:left="113" w:right="113"/>
              <w:jc w:val="center"/>
              <w:rPr>
                <w:rFonts w:ascii="Arial" w:eastAsia="Times New Roman" w:hAnsi="Arial" w:cs="Arial"/>
                <w:b w:val="0"/>
                <w:color w:val="000000"/>
                <w:sz w:val="14"/>
                <w:szCs w:val="14"/>
                <w:lang w:eastAsia="el-GR"/>
              </w:rPr>
            </w:pPr>
            <w:r w:rsidRPr="00E222B5">
              <w:rPr>
                <w:rFonts w:ascii="Arial" w:eastAsia="Times New Roman" w:hAnsi="Arial" w:cs="Arial"/>
                <w:b w:val="0"/>
                <w:color w:val="000000"/>
                <w:sz w:val="14"/>
                <w:szCs w:val="14"/>
                <w:lang w:eastAsia="el-GR"/>
              </w:rPr>
              <w:t>Στερεά Ελλάδα</w:t>
            </w: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Μεγάλες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19,05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0.59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1,34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26,67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0.58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1,37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26,67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0.17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0,95</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19,22</w:t>
            </w:r>
          </w:p>
        </w:tc>
      </w:tr>
      <w:tr w:rsidR="00E222B5" w:rsidRPr="00E222B5" w:rsidTr="00722BA0">
        <w:trPr>
          <w:cnfStyle w:val="000000100000"/>
          <w:trHeight w:val="300"/>
        </w:trPr>
        <w:tc>
          <w:tcPr>
            <w:cnfStyle w:val="001000000000"/>
            <w:tcW w:w="0" w:type="auto"/>
            <w:vMerge/>
            <w:tcBorders>
              <w:top w:val="single" w:sz="4" w:space="0" w:color="auto"/>
              <w:left w:val="single" w:sz="4" w:space="0" w:color="auto"/>
              <w:bottom w:val="single" w:sz="4" w:space="0" w:color="auto"/>
              <w:right w:val="single" w:sz="4" w:space="0" w:color="auto"/>
            </w:tcBorders>
            <w:vAlign w:val="center"/>
            <w:hideMark/>
          </w:tcPr>
          <w:p w:rsidR="00E222B5" w:rsidRPr="00E222B5" w:rsidRDefault="00E222B5" w:rsidP="00E222B5">
            <w:pPr>
              <w:spacing w:before="20" w:after="20"/>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1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Μεσαίες</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1,85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42,86</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0.91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2,05</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40,74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0.89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2,09</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40,82</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0.41</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2,24</w:t>
            </w:r>
          </w:p>
        </w:tc>
        <w:tc>
          <w:tcPr>
            <w:tcW w:w="0" w:type="auto"/>
            <w:noWrap/>
            <w:vAlign w:val="center"/>
            <w:hideMark/>
          </w:tcPr>
          <w:p w:rsidR="00E222B5" w:rsidRPr="00E222B5" w:rsidRDefault="00E222B5" w:rsidP="00E222B5">
            <w:pPr>
              <w:spacing w:before="20" w:after="20"/>
              <w:jc w:val="center"/>
              <w:cnfStyle w:val="0000001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45,1</w:t>
            </w:r>
          </w:p>
        </w:tc>
      </w:tr>
      <w:tr w:rsidR="00E222B5" w:rsidRPr="00E222B5" w:rsidTr="00722BA0">
        <w:trPr>
          <w:trHeight w:val="300"/>
        </w:trPr>
        <w:tc>
          <w:tcPr>
            <w:cnfStyle w:val="001000000000"/>
            <w:tcW w:w="0" w:type="auto"/>
            <w:vMerge/>
            <w:tcBorders>
              <w:top w:val="single" w:sz="4" w:space="0" w:color="auto"/>
              <w:left w:val="single" w:sz="4" w:space="0" w:color="auto"/>
              <w:bottom w:val="single" w:sz="4" w:space="0" w:color="auto"/>
              <w:right w:val="single" w:sz="4" w:space="0" w:color="auto"/>
            </w:tcBorders>
            <w:vAlign w:val="center"/>
            <w:hideMark/>
          </w:tcPr>
          <w:p w:rsidR="00E222B5" w:rsidRPr="00E222B5" w:rsidRDefault="00E222B5" w:rsidP="00E222B5">
            <w:pPr>
              <w:spacing w:before="20" w:after="20"/>
              <w:jc w:val="center"/>
              <w:rPr>
                <w:rFonts w:ascii="Arial" w:eastAsia="Times New Roman" w:hAnsi="Arial" w:cs="Arial"/>
                <w:b w:val="0"/>
                <w:color w:val="000000"/>
                <w:sz w:val="14"/>
                <w:szCs w:val="14"/>
                <w:lang w:eastAsia="el-GR"/>
              </w:rPr>
            </w:pPr>
          </w:p>
        </w:tc>
        <w:tc>
          <w:tcPr>
            <w:tcW w:w="0" w:type="auto"/>
            <w:tcBorders>
              <w:left w:val="single" w:sz="4" w:space="0" w:color="auto"/>
            </w:tcBorders>
            <w:noWrap/>
            <w:vAlign w:val="center"/>
            <w:hideMark/>
          </w:tcPr>
          <w:p w:rsidR="00E222B5" w:rsidRPr="00E222B5" w:rsidRDefault="00E222B5" w:rsidP="00E222B5">
            <w:pPr>
              <w:spacing w:before="20" w:after="20"/>
              <w:jc w:val="center"/>
              <w:cnfStyle w:val="000000000000"/>
              <w:rPr>
                <w:rFonts w:ascii="Arial" w:eastAsia="Times New Roman" w:hAnsi="Arial" w:cs="Arial"/>
                <w:b/>
                <w:bCs/>
                <w:color w:val="000000"/>
                <w:sz w:val="14"/>
                <w:szCs w:val="14"/>
                <w:lang w:eastAsia="el-GR"/>
              </w:rPr>
            </w:pPr>
            <w:r w:rsidRPr="00E222B5">
              <w:rPr>
                <w:rFonts w:ascii="Arial" w:eastAsia="Times New Roman" w:hAnsi="Arial" w:cs="Arial"/>
                <w:b/>
                <w:bCs/>
                <w:color w:val="000000"/>
                <w:sz w:val="14"/>
                <w:szCs w:val="14"/>
                <w:lang w:eastAsia="el-GR"/>
              </w:rPr>
              <w:t>Μικρές και Πολύ Μικρές</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8</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38,1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0.73</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1,64</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32,59</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0.71</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1,67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32,52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0.32</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1,77</w:t>
            </w:r>
          </w:p>
        </w:tc>
        <w:tc>
          <w:tcPr>
            <w:tcW w:w="0" w:type="auto"/>
            <w:noWrap/>
            <w:vAlign w:val="center"/>
            <w:hideMark/>
          </w:tcPr>
          <w:p w:rsidR="00E222B5" w:rsidRPr="00E222B5" w:rsidRDefault="00E222B5" w:rsidP="00E222B5">
            <w:pPr>
              <w:spacing w:before="20" w:after="20"/>
              <w:jc w:val="center"/>
              <w:cnfStyle w:val="000000000000"/>
              <w:rPr>
                <w:rFonts w:ascii="Arial" w:eastAsia="Times New Roman" w:hAnsi="Arial" w:cs="Arial"/>
                <w:color w:val="000000"/>
                <w:sz w:val="14"/>
                <w:szCs w:val="14"/>
                <w:lang w:eastAsia="el-GR"/>
              </w:rPr>
            </w:pPr>
            <w:r w:rsidRPr="00E222B5">
              <w:rPr>
                <w:rFonts w:ascii="Arial" w:eastAsia="Times New Roman" w:hAnsi="Arial" w:cs="Arial"/>
                <w:color w:val="000000"/>
                <w:sz w:val="14"/>
                <w:szCs w:val="14"/>
                <w:lang w:eastAsia="el-GR"/>
              </w:rPr>
              <w:t>35,68</w:t>
            </w:r>
          </w:p>
        </w:tc>
      </w:tr>
    </w:tbl>
    <w:p w:rsidR="00E222B5" w:rsidRPr="00410CFD" w:rsidRDefault="00E222B5" w:rsidP="00FF7394">
      <w:pPr>
        <w:ind w:left="360"/>
        <w:jc w:val="both"/>
        <w:rPr>
          <w:rFonts w:ascii="Arial" w:hAnsi="Arial" w:cs="Arial"/>
          <w:sz w:val="18"/>
          <w:szCs w:val="18"/>
        </w:rPr>
      </w:pPr>
    </w:p>
    <w:sectPr w:rsidR="00E222B5" w:rsidRPr="00410CFD" w:rsidSect="00891E2C">
      <w:footerReference w:type="default" r:id="rId16"/>
      <w:pgSz w:w="11906" w:h="16838"/>
      <w:pgMar w:top="1304" w:right="1134" w:bottom="1361" w:left="1418" w:header="709" w:footer="31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327" w:rsidRDefault="001C7327" w:rsidP="003E13DE">
      <w:pPr>
        <w:spacing w:after="0" w:line="240" w:lineRule="auto"/>
      </w:pPr>
      <w:r>
        <w:separator/>
      </w:r>
    </w:p>
  </w:endnote>
  <w:endnote w:type="continuationSeparator" w:id="0">
    <w:p w:rsidR="001C7327" w:rsidRDefault="001C7327" w:rsidP="003E1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TimesNewRoman">
    <w:panose1 w:val="00000000000000000000"/>
    <w:charset w:val="A1"/>
    <w:family w:val="auto"/>
    <w:notTrueType/>
    <w:pitch w:val="default"/>
    <w:sig w:usb0="00000081" w:usb1="00000000" w:usb2="00000000" w:usb3="00000000" w:csb0="00000008"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FB2" w:rsidRPr="007B3A21" w:rsidRDefault="008D4FB2">
    <w:pPr>
      <w:pStyle w:val="a5"/>
      <w:pBdr>
        <w:top w:val="thinThickSmallGap" w:sz="24" w:space="1" w:color="622423" w:themeColor="accent2" w:themeShade="7F"/>
      </w:pBdr>
      <w:rPr>
        <w:rFonts w:ascii="Arial" w:hAnsi="Arial" w:cs="Arial"/>
        <w:i/>
        <w:sz w:val="16"/>
        <w:szCs w:val="16"/>
      </w:rPr>
    </w:pPr>
    <w:r w:rsidRPr="007B3A21">
      <w:rPr>
        <w:rFonts w:ascii="Arial" w:hAnsi="Arial" w:cs="Arial"/>
        <w:i/>
        <w:sz w:val="16"/>
        <w:szCs w:val="16"/>
      </w:rPr>
      <w:t>ΔΙΕΥΘΥΝΣΗ ΣΤΗΡΙΞΗΣ ΜΙΚΡΟΜΕΣΑΙΩΝ ΕΠΙΧΕΙΡΗΣΕΩΝ</w:t>
    </w:r>
  </w:p>
  <w:p w:rsidR="008D4FB2" w:rsidRDefault="008D4FB2">
    <w:pPr>
      <w:pStyle w:val="a5"/>
      <w:pBdr>
        <w:top w:val="thinThickSmallGap" w:sz="24" w:space="1" w:color="622423" w:themeColor="accent2" w:themeShade="7F"/>
      </w:pBdr>
      <w:rPr>
        <w:rFonts w:asciiTheme="majorHAnsi" w:hAnsiTheme="majorHAnsi"/>
      </w:rPr>
    </w:pPr>
    <w:r w:rsidRPr="00790CFC">
      <w:rPr>
        <w:rFonts w:ascii="Arial" w:hAnsi="Arial" w:cs="Arial"/>
        <w:i/>
        <w:sz w:val="16"/>
        <w:szCs w:val="16"/>
      </w:rPr>
      <w:t xml:space="preserve">ΤΜΗΜΑ </w:t>
    </w:r>
    <w:r>
      <w:rPr>
        <w:rFonts w:ascii="Arial" w:hAnsi="Arial" w:cs="Arial"/>
        <w:i/>
        <w:sz w:val="16"/>
        <w:szCs w:val="16"/>
      </w:rPr>
      <w:t>Α</w:t>
    </w:r>
    <w:r w:rsidRPr="00790CFC">
      <w:rPr>
        <w:rFonts w:asciiTheme="majorHAnsi" w:hAnsiTheme="majorHAnsi"/>
        <w:i/>
        <w:sz w:val="16"/>
        <w:szCs w:val="16"/>
      </w:rPr>
      <w:t>΄</w:t>
    </w:r>
    <w:r w:rsidRPr="00790CFC">
      <w:rPr>
        <w:rFonts w:asciiTheme="majorHAnsi" w:hAnsiTheme="majorHAnsi"/>
        <w:i/>
      </w:rPr>
      <w:t xml:space="preserve"> </w:t>
    </w:r>
    <w:r>
      <w:rPr>
        <w:rFonts w:ascii="Arial" w:hAnsi="Arial" w:cs="Arial"/>
        <w:i/>
        <w:sz w:val="16"/>
        <w:szCs w:val="16"/>
      </w:rPr>
      <w:t>ΠΟΛΙΤΙΚΩΝ ΚΑΙ ΔΟΜΩΝ ΥΠΟΣΤΗΡΙΞΗΣ ΜΙΚΡΟΜΕΣΑΙΩΝ ΕΠΙΧΕΙΡΗΣΕΩΝ</w:t>
    </w:r>
    <w:r w:rsidRPr="007B3A21">
      <w:rPr>
        <w:rFonts w:ascii="Arial" w:hAnsi="Arial" w:cs="Arial"/>
        <w:sz w:val="16"/>
        <w:szCs w:val="16"/>
      </w:rPr>
      <w:ptab w:relativeTo="margin" w:alignment="right" w:leader="none"/>
    </w:r>
    <w:r w:rsidRPr="007B3A21">
      <w:rPr>
        <w:rFonts w:ascii="Arial" w:hAnsi="Arial" w:cs="Arial"/>
        <w:sz w:val="16"/>
        <w:szCs w:val="16"/>
      </w:rPr>
      <w:t xml:space="preserve">Σελίδα </w:t>
    </w:r>
    <w:r w:rsidR="00FB46F4" w:rsidRPr="007B3A21">
      <w:rPr>
        <w:rFonts w:ascii="Arial" w:hAnsi="Arial" w:cs="Arial"/>
        <w:sz w:val="16"/>
        <w:szCs w:val="16"/>
      </w:rPr>
      <w:fldChar w:fldCharType="begin"/>
    </w:r>
    <w:r w:rsidRPr="007B3A21">
      <w:rPr>
        <w:rFonts w:ascii="Arial" w:hAnsi="Arial" w:cs="Arial"/>
        <w:sz w:val="16"/>
        <w:szCs w:val="16"/>
      </w:rPr>
      <w:instrText xml:space="preserve"> PAGE   \* MERGEFORMAT </w:instrText>
    </w:r>
    <w:r w:rsidR="00FB46F4" w:rsidRPr="007B3A21">
      <w:rPr>
        <w:rFonts w:ascii="Arial" w:hAnsi="Arial" w:cs="Arial"/>
        <w:sz w:val="16"/>
        <w:szCs w:val="16"/>
      </w:rPr>
      <w:fldChar w:fldCharType="separate"/>
    </w:r>
    <w:r w:rsidR="00261909">
      <w:rPr>
        <w:rFonts w:ascii="Arial" w:hAnsi="Arial" w:cs="Arial"/>
        <w:noProof/>
        <w:sz w:val="16"/>
        <w:szCs w:val="16"/>
      </w:rPr>
      <w:t>27</w:t>
    </w:r>
    <w:r w:rsidR="00FB46F4" w:rsidRPr="007B3A21">
      <w:rPr>
        <w:rFonts w:ascii="Arial" w:hAnsi="Arial" w:cs="Arial"/>
        <w:sz w:val="16"/>
        <w:szCs w:val="16"/>
      </w:rPr>
      <w:fldChar w:fldCharType="end"/>
    </w:r>
  </w:p>
  <w:p w:rsidR="008D4FB2" w:rsidRDefault="008D4FB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327" w:rsidRDefault="001C7327" w:rsidP="003E13DE">
      <w:pPr>
        <w:spacing w:after="0" w:line="240" w:lineRule="auto"/>
      </w:pPr>
      <w:r>
        <w:separator/>
      </w:r>
    </w:p>
  </w:footnote>
  <w:footnote w:type="continuationSeparator" w:id="0">
    <w:p w:rsidR="001C7327" w:rsidRDefault="001C7327" w:rsidP="003E13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2D93"/>
    <w:multiLevelType w:val="hybridMultilevel"/>
    <w:tmpl w:val="19506E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6D95F94"/>
    <w:multiLevelType w:val="hybridMultilevel"/>
    <w:tmpl w:val="04E896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F6C55E7"/>
    <w:multiLevelType w:val="hybridMultilevel"/>
    <w:tmpl w:val="A6B052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9F203FA"/>
    <w:multiLevelType w:val="hybridMultilevel"/>
    <w:tmpl w:val="6512BC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2460504"/>
    <w:multiLevelType w:val="hybridMultilevel"/>
    <w:tmpl w:val="43300B5A"/>
    <w:lvl w:ilvl="0" w:tplc="F6CE047A">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9042807"/>
    <w:multiLevelType w:val="hybridMultilevel"/>
    <w:tmpl w:val="7B3894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A316779"/>
    <w:multiLevelType w:val="multilevel"/>
    <w:tmpl w:val="99141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A0D4935"/>
    <w:multiLevelType w:val="hybridMultilevel"/>
    <w:tmpl w:val="77B00F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D7E52FF"/>
    <w:multiLevelType w:val="hybridMultilevel"/>
    <w:tmpl w:val="334A2B42"/>
    <w:lvl w:ilvl="0" w:tplc="C3841CC6">
      <w:start w:val="198"/>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07059B8"/>
    <w:multiLevelType w:val="hybridMultilevel"/>
    <w:tmpl w:val="036472CE"/>
    <w:lvl w:ilvl="0" w:tplc="F6CE047A">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
    <w:nsid w:val="439E5772"/>
    <w:multiLevelType w:val="hybridMultilevel"/>
    <w:tmpl w:val="007266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nsid w:val="5135157F"/>
    <w:multiLevelType w:val="hybridMultilevel"/>
    <w:tmpl w:val="C4F81A9A"/>
    <w:lvl w:ilvl="0" w:tplc="C88890B6">
      <w:start w:val="1"/>
      <w:numFmt w:val="decimal"/>
      <w:lvlText w:val="%1."/>
      <w:lvlJc w:val="left"/>
      <w:pPr>
        <w:ind w:left="720" w:hanging="360"/>
      </w:pPr>
      <w:rPr>
        <w:rFonts w:hint="default"/>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27451A7"/>
    <w:multiLevelType w:val="hybridMultilevel"/>
    <w:tmpl w:val="5106B61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42C3411"/>
    <w:multiLevelType w:val="hybridMultilevel"/>
    <w:tmpl w:val="BD94566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69C02F84"/>
    <w:multiLevelType w:val="hybridMultilevel"/>
    <w:tmpl w:val="3A64703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5">
    <w:nsid w:val="74EF4D79"/>
    <w:multiLevelType w:val="hybridMultilevel"/>
    <w:tmpl w:val="DB3AFDA4"/>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nsid w:val="787B54E8"/>
    <w:multiLevelType w:val="hybridMultilevel"/>
    <w:tmpl w:val="0FD48EFE"/>
    <w:lvl w:ilvl="0" w:tplc="04080001">
      <w:start w:val="1"/>
      <w:numFmt w:val="bullet"/>
      <w:lvlText w:val=""/>
      <w:lvlJc w:val="left"/>
      <w:pPr>
        <w:tabs>
          <w:tab w:val="num" w:pos="530"/>
        </w:tabs>
        <w:ind w:left="530" w:hanging="360"/>
      </w:pPr>
      <w:rPr>
        <w:rFonts w:ascii="Symbol" w:hAnsi="Symbol" w:hint="default"/>
      </w:rPr>
    </w:lvl>
    <w:lvl w:ilvl="1" w:tplc="04080003" w:tentative="1">
      <w:start w:val="1"/>
      <w:numFmt w:val="bullet"/>
      <w:lvlText w:val="o"/>
      <w:lvlJc w:val="left"/>
      <w:pPr>
        <w:tabs>
          <w:tab w:val="num" w:pos="1250"/>
        </w:tabs>
        <w:ind w:left="1250" w:hanging="360"/>
      </w:pPr>
      <w:rPr>
        <w:rFonts w:ascii="Courier New" w:hAnsi="Courier New" w:cs="Courier New" w:hint="default"/>
      </w:rPr>
    </w:lvl>
    <w:lvl w:ilvl="2" w:tplc="04080005" w:tentative="1">
      <w:start w:val="1"/>
      <w:numFmt w:val="bullet"/>
      <w:lvlText w:val=""/>
      <w:lvlJc w:val="left"/>
      <w:pPr>
        <w:tabs>
          <w:tab w:val="num" w:pos="1970"/>
        </w:tabs>
        <w:ind w:left="1970" w:hanging="360"/>
      </w:pPr>
      <w:rPr>
        <w:rFonts w:ascii="Wingdings" w:hAnsi="Wingdings" w:hint="default"/>
      </w:rPr>
    </w:lvl>
    <w:lvl w:ilvl="3" w:tplc="04080001" w:tentative="1">
      <w:start w:val="1"/>
      <w:numFmt w:val="bullet"/>
      <w:lvlText w:val=""/>
      <w:lvlJc w:val="left"/>
      <w:pPr>
        <w:tabs>
          <w:tab w:val="num" w:pos="2690"/>
        </w:tabs>
        <w:ind w:left="2690" w:hanging="360"/>
      </w:pPr>
      <w:rPr>
        <w:rFonts w:ascii="Symbol" w:hAnsi="Symbol" w:hint="default"/>
      </w:rPr>
    </w:lvl>
    <w:lvl w:ilvl="4" w:tplc="04080003" w:tentative="1">
      <w:start w:val="1"/>
      <w:numFmt w:val="bullet"/>
      <w:lvlText w:val="o"/>
      <w:lvlJc w:val="left"/>
      <w:pPr>
        <w:tabs>
          <w:tab w:val="num" w:pos="3410"/>
        </w:tabs>
        <w:ind w:left="3410" w:hanging="360"/>
      </w:pPr>
      <w:rPr>
        <w:rFonts w:ascii="Courier New" w:hAnsi="Courier New" w:cs="Courier New" w:hint="default"/>
      </w:rPr>
    </w:lvl>
    <w:lvl w:ilvl="5" w:tplc="04080005" w:tentative="1">
      <w:start w:val="1"/>
      <w:numFmt w:val="bullet"/>
      <w:lvlText w:val=""/>
      <w:lvlJc w:val="left"/>
      <w:pPr>
        <w:tabs>
          <w:tab w:val="num" w:pos="4130"/>
        </w:tabs>
        <w:ind w:left="4130" w:hanging="360"/>
      </w:pPr>
      <w:rPr>
        <w:rFonts w:ascii="Wingdings" w:hAnsi="Wingdings" w:hint="default"/>
      </w:rPr>
    </w:lvl>
    <w:lvl w:ilvl="6" w:tplc="04080001" w:tentative="1">
      <w:start w:val="1"/>
      <w:numFmt w:val="bullet"/>
      <w:lvlText w:val=""/>
      <w:lvlJc w:val="left"/>
      <w:pPr>
        <w:tabs>
          <w:tab w:val="num" w:pos="4850"/>
        </w:tabs>
        <w:ind w:left="4850" w:hanging="360"/>
      </w:pPr>
      <w:rPr>
        <w:rFonts w:ascii="Symbol" w:hAnsi="Symbol" w:hint="default"/>
      </w:rPr>
    </w:lvl>
    <w:lvl w:ilvl="7" w:tplc="04080003" w:tentative="1">
      <w:start w:val="1"/>
      <w:numFmt w:val="bullet"/>
      <w:lvlText w:val="o"/>
      <w:lvlJc w:val="left"/>
      <w:pPr>
        <w:tabs>
          <w:tab w:val="num" w:pos="5570"/>
        </w:tabs>
        <w:ind w:left="5570" w:hanging="360"/>
      </w:pPr>
      <w:rPr>
        <w:rFonts w:ascii="Courier New" w:hAnsi="Courier New" w:cs="Courier New" w:hint="default"/>
      </w:rPr>
    </w:lvl>
    <w:lvl w:ilvl="8" w:tplc="04080005" w:tentative="1">
      <w:start w:val="1"/>
      <w:numFmt w:val="bullet"/>
      <w:lvlText w:val=""/>
      <w:lvlJc w:val="left"/>
      <w:pPr>
        <w:tabs>
          <w:tab w:val="num" w:pos="6290"/>
        </w:tabs>
        <w:ind w:left="6290" w:hanging="360"/>
      </w:pPr>
      <w:rPr>
        <w:rFonts w:ascii="Wingdings" w:hAnsi="Wingdings" w:hint="default"/>
      </w:rPr>
    </w:lvl>
  </w:abstractNum>
  <w:abstractNum w:abstractNumId="17">
    <w:nsid w:val="7BE72583"/>
    <w:multiLevelType w:val="hybridMultilevel"/>
    <w:tmpl w:val="76FE5F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7BFA0218"/>
    <w:multiLevelType w:val="hybridMultilevel"/>
    <w:tmpl w:val="F7F4DA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4"/>
  </w:num>
  <w:num w:numId="4">
    <w:abstractNumId w:val="12"/>
  </w:num>
  <w:num w:numId="5">
    <w:abstractNumId w:val="18"/>
  </w:num>
  <w:num w:numId="6">
    <w:abstractNumId w:val="5"/>
  </w:num>
  <w:num w:numId="7">
    <w:abstractNumId w:val="0"/>
  </w:num>
  <w:num w:numId="8">
    <w:abstractNumId w:val="14"/>
  </w:num>
  <w:num w:numId="9">
    <w:abstractNumId w:val="11"/>
  </w:num>
  <w:num w:numId="10">
    <w:abstractNumId w:val="3"/>
  </w:num>
  <w:num w:numId="11">
    <w:abstractNumId w:val="8"/>
  </w:num>
  <w:num w:numId="12">
    <w:abstractNumId w:val="7"/>
  </w:num>
  <w:num w:numId="13">
    <w:abstractNumId w:val="1"/>
  </w:num>
  <w:num w:numId="14">
    <w:abstractNumId w:val="13"/>
  </w:num>
  <w:num w:numId="15">
    <w:abstractNumId w:val="6"/>
  </w:num>
  <w:num w:numId="16">
    <w:abstractNumId w:val="16"/>
  </w:num>
  <w:num w:numId="17">
    <w:abstractNumId w:val="15"/>
  </w:num>
  <w:num w:numId="18">
    <w:abstractNumId w:val="10"/>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203EDD"/>
    <w:rsid w:val="000141D4"/>
    <w:rsid w:val="00037532"/>
    <w:rsid w:val="000400CB"/>
    <w:rsid w:val="000607C0"/>
    <w:rsid w:val="00074525"/>
    <w:rsid w:val="000808AB"/>
    <w:rsid w:val="00082087"/>
    <w:rsid w:val="00085E25"/>
    <w:rsid w:val="00090D83"/>
    <w:rsid w:val="00094280"/>
    <w:rsid w:val="000B5957"/>
    <w:rsid w:val="000B73D3"/>
    <w:rsid w:val="000C313C"/>
    <w:rsid w:val="000C7767"/>
    <w:rsid w:val="00113C44"/>
    <w:rsid w:val="00122BDD"/>
    <w:rsid w:val="001368CB"/>
    <w:rsid w:val="00142477"/>
    <w:rsid w:val="001436F7"/>
    <w:rsid w:val="0014379C"/>
    <w:rsid w:val="00160405"/>
    <w:rsid w:val="00187680"/>
    <w:rsid w:val="001A3A22"/>
    <w:rsid w:val="001B5E27"/>
    <w:rsid w:val="001C33A7"/>
    <w:rsid w:val="001C3B94"/>
    <w:rsid w:val="001C5A16"/>
    <w:rsid w:val="001C7327"/>
    <w:rsid w:val="001D1D08"/>
    <w:rsid w:val="001D2B3F"/>
    <w:rsid w:val="001D53ED"/>
    <w:rsid w:val="001F35E4"/>
    <w:rsid w:val="00203EDD"/>
    <w:rsid w:val="00226402"/>
    <w:rsid w:val="00242E72"/>
    <w:rsid w:val="00246E05"/>
    <w:rsid w:val="00261909"/>
    <w:rsid w:val="00263B46"/>
    <w:rsid w:val="00264B06"/>
    <w:rsid w:val="00264C34"/>
    <w:rsid w:val="002724D0"/>
    <w:rsid w:val="002812AE"/>
    <w:rsid w:val="00283A5B"/>
    <w:rsid w:val="00283BA9"/>
    <w:rsid w:val="00286C93"/>
    <w:rsid w:val="002964F5"/>
    <w:rsid w:val="002B2CB7"/>
    <w:rsid w:val="002B5F17"/>
    <w:rsid w:val="002B7DE8"/>
    <w:rsid w:val="002C0120"/>
    <w:rsid w:val="002E2D9B"/>
    <w:rsid w:val="002E4E43"/>
    <w:rsid w:val="002F5DE5"/>
    <w:rsid w:val="00307601"/>
    <w:rsid w:val="00310ADC"/>
    <w:rsid w:val="00326431"/>
    <w:rsid w:val="00332ED4"/>
    <w:rsid w:val="00336A4E"/>
    <w:rsid w:val="003508A6"/>
    <w:rsid w:val="00355AA3"/>
    <w:rsid w:val="003630A7"/>
    <w:rsid w:val="00363224"/>
    <w:rsid w:val="003764A5"/>
    <w:rsid w:val="003801A0"/>
    <w:rsid w:val="003A6658"/>
    <w:rsid w:val="003A6998"/>
    <w:rsid w:val="003A6A5E"/>
    <w:rsid w:val="003E13DE"/>
    <w:rsid w:val="003E48BF"/>
    <w:rsid w:val="003E60A3"/>
    <w:rsid w:val="003F2BEB"/>
    <w:rsid w:val="00401644"/>
    <w:rsid w:val="00403B8D"/>
    <w:rsid w:val="004042BA"/>
    <w:rsid w:val="004053AD"/>
    <w:rsid w:val="004071C8"/>
    <w:rsid w:val="00410CFD"/>
    <w:rsid w:val="00415D30"/>
    <w:rsid w:val="00424480"/>
    <w:rsid w:val="004255AC"/>
    <w:rsid w:val="00426CB7"/>
    <w:rsid w:val="00432494"/>
    <w:rsid w:val="00446AF4"/>
    <w:rsid w:val="00450806"/>
    <w:rsid w:val="00450DA2"/>
    <w:rsid w:val="0045132C"/>
    <w:rsid w:val="0045249C"/>
    <w:rsid w:val="0047451A"/>
    <w:rsid w:val="00476878"/>
    <w:rsid w:val="004771D2"/>
    <w:rsid w:val="00490536"/>
    <w:rsid w:val="00493D91"/>
    <w:rsid w:val="004A1DE1"/>
    <w:rsid w:val="004A5167"/>
    <w:rsid w:val="004B0975"/>
    <w:rsid w:val="004B6075"/>
    <w:rsid w:val="004C5AE9"/>
    <w:rsid w:val="004D3E52"/>
    <w:rsid w:val="004E0509"/>
    <w:rsid w:val="004E64BE"/>
    <w:rsid w:val="004F2970"/>
    <w:rsid w:val="0050526A"/>
    <w:rsid w:val="005248AA"/>
    <w:rsid w:val="0052734A"/>
    <w:rsid w:val="0054065D"/>
    <w:rsid w:val="0054136D"/>
    <w:rsid w:val="005606DE"/>
    <w:rsid w:val="0057124C"/>
    <w:rsid w:val="00577605"/>
    <w:rsid w:val="00581274"/>
    <w:rsid w:val="00584DE1"/>
    <w:rsid w:val="00586A5F"/>
    <w:rsid w:val="00592529"/>
    <w:rsid w:val="00592865"/>
    <w:rsid w:val="005B5782"/>
    <w:rsid w:val="005C2B32"/>
    <w:rsid w:val="005D6052"/>
    <w:rsid w:val="005E1073"/>
    <w:rsid w:val="005E19BB"/>
    <w:rsid w:val="005E4101"/>
    <w:rsid w:val="00604520"/>
    <w:rsid w:val="00604A5B"/>
    <w:rsid w:val="00620DBA"/>
    <w:rsid w:val="0064582C"/>
    <w:rsid w:val="00650256"/>
    <w:rsid w:val="006563C7"/>
    <w:rsid w:val="006578FB"/>
    <w:rsid w:val="00667CED"/>
    <w:rsid w:val="00674055"/>
    <w:rsid w:val="006A7C36"/>
    <w:rsid w:val="006E1FE4"/>
    <w:rsid w:val="006F123F"/>
    <w:rsid w:val="006F1D4A"/>
    <w:rsid w:val="006F2971"/>
    <w:rsid w:val="006F6B3A"/>
    <w:rsid w:val="00701F5D"/>
    <w:rsid w:val="007029DD"/>
    <w:rsid w:val="0071024B"/>
    <w:rsid w:val="00711D74"/>
    <w:rsid w:val="007167E9"/>
    <w:rsid w:val="007174BC"/>
    <w:rsid w:val="00717981"/>
    <w:rsid w:val="00722BA0"/>
    <w:rsid w:val="0073250C"/>
    <w:rsid w:val="0074678F"/>
    <w:rsid w:val="0075667F"/>
    <w:rsid w:val="00787796"/>
    <w:rsid w:val="00790CFC"/>
    <w:rsid w:val="00791875"/>
    <w:rsid w:val="007B3A21"/>
    <w:rsid w:val="007B7A11"/>
    <w:rsid w:val="007D28B4"/>
    <w:rsid w:val="007D4F78"/>
    <w:rsid w:val="007E49DC"/>
    <w:rsid w:val="007F4498"/>
    <w:rsid w:val="00800CD7"/>
    <w:rsid w:val="0081114E"/>
    <w:rsid w:val="00824980"/>
    <w:rsid w:val="00826BCF"/>
    <w:rsid w:val="008360AD"/>
    <w:rsid w:val="00844DC0"/>
    <w:rsid w:val="008466DB"/>
    <w:rsid w:val="00850021"/>
    <w:rsid w:val="00862CD1"/>
    <w:rsid w:val="00870DD4"/>
    <w:rsid w:val="0089060F"/>
    <w:rsid w:val="00891E2C"/>
    <w:rsid w:val="00892D6D"/>
    <w:rsid w:val="008A136A"/>
    <w:rsid w:val="008B06FB"/>
    <w:rsid w:val="008C7369"/>
    <w:rsid w:val="008D312F"/>
    <w:rsid w:val="008D4FB2"/>
    <w:rsid w:val="008D5CA8"/>
    <w:rsid w:val="008E353E"/>
    <w:rsid w:val="00905F54"/>
    <w:rsid w:val="00915115"/>
    <w:rsid w:val="00926A88"/>
    <w:rsid w:val="0092720C"/>
    <w:rsid w:val="00930126"/>
    <w:rsid w:val="00935E9E"/>
    <w:rsid w:val="00940569"/>
    <w:rsid w:val="0094611F"/>
    <w:rsid w:val="00950F6D"/>
    <w:rsid w:val="009520E7"/>
    <w:rsid w:val="009600B6"/>
    <w:rsid w:val="00976870"/>
    <w:rsid w:val="0097768A"/>
    <w:rsid w:val="00991760"/>
    <w:rsid w:val="009A78F8"/>
    <w:rsid w:val="009B0CF3"/>
    <w:rsid w:val="009B10F0"/>
    <w:rsid w:val="009B1918"/>
    <w:rsid w:val="009B2197"/>
    <w:rsid w:val="009D50C4"/>
    <w:rsid w:val="009E47E9"/>
    <w:rsid w:val="009E75EE"/>
    <w:rsid w:val="009F264F"/>
    <w:rsid w:val="00A036E3"/>
    <w:rsid w:val="00A046E7"/>
    <w:rsid w:val="00A07013"/>
    <w:rsid w:val="00A13A2C"/>
    <w:rsid w:val="00A26B79"/>
    <w:rsid w:val="00A30D9B"/>
    <w:rsid w:val="00A30E73"/>
    <w:rsid w:val="00A31A79"/>
    <w:rsid w:val="00A73B48"/>
    <w:rsid w:val="00A7744B"/>
    <w:rsid w:val="00A9641F"/>
    <w:rsid w:val="00A9796E"/>
    <w:rsid w:val="00AB198E"/>
    <w:rsid w:val="00AB1F1E"/>
    <w:rsid w:val="00AB67AE"/>
    <w:rsid w:val="00AE4432"/>
    <w:rsid w:val="00AF7BF1"/>
    <w:rsid w:val="00B01BFC"/>
    <w:rsid w:val="00B11A48"/>
    <w:rsid w:val="00B256EA"/>
    <w:rsid w:val="00B274D7"/>
    <w:rsid w:val="00B30123"/>
    <w:rsid w:val="00B376DC"/>
    <w:rsid w:val="00B81CA5"/>
    <w:rsid w:val="00B921BE"/>
    <w:rsid w:val="00B943EF"/>
    <w:rsid w:val="00B97F9F"/>
    <w:rsid w:val="00BA10E8"/>
    <w:rsid w:val="00BA150D"/>
    <w:rsid w:val="00BB513A"/>
    <w:rsid w:val="00C00D4C"/>
    <w:rsid w:val="00C0596D"/>
    <w:rsid w:val="00C16C98"/>
    <w:rsid w:val="00C33ACC"/>
    <w:rsid w:val="00C4132F"/>
    <w:rsid w:val="00C4300C"/>
    <w:rsid w:val="00C436A6"/>
    <w:rsid w:val="00CA253D"/>
    <w:rsid w:val="00CB3F42"/>
    <w:rsid w:val="00CB59D6"/>
    <w:rsid w:val="00CB735F"/>
    <w:rsid w:val="00CC6141"/>
    <w:rsid w:val="00CC77E6"/>
    <w:rsid w:val="00CC7893"/>
    <w:rsid w:val="00CE62E2"/>
    <w:rsid w:val="00CF37C8"/>
    <w:rsid w:val="00CF5BB3"/>
    <w:rsid w:val="00D018D6"/>
    <w:rsid w:val="00D01FF6"/>
    <w:rsid w:val="00D0330F"/>
    <w:rsid w:val="00D114AD"/>
    <w:rsid w:val="00D123F5"/>
    <w:rsid w:val="00D17638"/>
    <w:rsid w:val="00D44A8A"/>
    <w:rsid w:val="00D50012"/>
    <w:rsid w:val="00D50155"/>
    <w:rsid w:val="00D55B2A"/>
    <w:rsid w:val="00D6133E"/>
    <w:rsid w:val="00D63F2F"/>
    <w:rsid w:val="00D727E7"/>
    <w:rsid w:val="00D75118"/>
    <w:rsid w:val="00D85B17"/>
    <w:rsid w:val="00D92C4A"/>
    <w:rsid w:val="00DA3FDF"/>
    <w:rsid w:val="00DA4533"/>
    <w:rsid w:val="00DB0F3E"/>
    <w:rsid w:val="00DD5208"/>
    <w:rsid w:val="00DE13AE"/>
    <w:rsid w:val="00E01E6A"/>
    <w:rsid w:val="00E055A7"/>
    <w:rsid w:val="00E15D28"/>
    <w:rsid w:val="00E222B5"/>
    <w:rsid w:val="00E2768C"/>
    <w:rsid w:val="00E2790B"/>
    <w:rsid w:val="00E3323B"/>
    <w:rsid w:val="00E36F5A"/>
    <w:rsid w:val="00E37102"/>
    <w:rsid w:val="00E55E9B"/>
    <w:rsid w:val="00E60CBC"/>
    <w:rsid w:val="00E64E7D"/>
    <w:rsid w:val="00E74341"/>
    <w:rsid w:val="00E91465"/>
    <w:rsid w:val="00EC01BA"/>
    <w:rsid w:val="00ED022D"/>
    <w:rsid w:val="00ED197D"/>
    <w:rsid w:val="00ED3564"/>
    <w:rsid w:val="00EE1371"/>
    <w:rsid w:val="00EE36DE"/>
    <w:rsid w:val="00EF0A06"/>
    <w:rsid w:val="00EF793D"/>
    <w:rsid w:val="00F1177A"/>
    <w:rsid w:val="00F20BE6"/>
    <w:rsid w:val="00F5327C"/>
    <w:rsid w:val="00F57E9F"/>
    <w:rsid w:val="00F6099D"/>
    <w:rsid w:val="00F613E7"/>
    <w:rsid w:val="00F745A5"/>
    <w:rsid w:val="00FB46F4"/>
    <w:rsid w:val="00FC3065"/>
    <w:rsid w:val="00FC49FF"/>
    <w:rsid w:val="00FC7DC5"/>
    <w:rsid w:val="00FD478D"/>
    <w:rsid w:val="00FE3A85"/>
    <w:rsid w:val="00FE3B33"/>
    <w:rsid w:val="00FF10B4"/>
    <w:rsid w:val="00FF73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971"/>
  </w:style>
  <w:style w:type="paragraph" w:styleId="1">
    <w:name w:val="heading 1"/>
    <w:basedOn w:val="a"/>
    <w:next w:val="a"/>
    <w:link w:val="1Char"/>
    <w:uiPriority w:val="9"/>
    <w:qFormat/>
    <w:rsid w:val="00226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B3F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B2A"/>
    <w:pPr>
      <w:ind w:left="720"/>
      <w:contextualSpacing/>
    </w:pPr>
  </w:style>
  <w:style w:type="paragraph" w:styleId="a4">
    <w:name w:val="header"/>
    <w:basedOn w:val="a"/>
    <w:link w:val="Char"/>
    <w:uiPriority w:val="99"/>
    <w:semiHidden/>
    <w:unhideWhenUsed/>
    <w:rsid w:val="003E13DE"/>
    <w:pPr>
      <w:tabs>
        <w:tab w:val="center" w:pos="4153"/>
        <w:tab w:val="right" w:pos="8306"/>
      </w:tabs>
      <w:spacing w:after="0" w:line="240" w:lineRule="auto"/>
    </w:pPr>
  </w:style>
  <w:style w:type="character" w:customStyle="1" w:styleId="Char">
    <w:name w:val="Κεφαλίδα Char"/>
    <w:basedOn w:val="a0"/>
    <w:link w:val="a4"/>
    <w:uiPriority w:val="99"/>
    <w:semiHidden/>
    <w:rsid w:val="003E13DE"/>
  </w:style>
  <w:style w:type="paragraph" w:styleId="a5">
    <w:name w:val="footer"/>
    <w:basedOn w:val="a"/>
    <w:link w:val="Char0"/>
    <w:uiPriority w:val="99"/>
    <w:unhideWhenUsed/>
    <w:rsid w:val="003E13DE"/>
    <w:pPr>
      <w:tabs>
        <w:tab w:val="center" w:pos="4153"/>
        <w:tab w:val="right" w:pos="8306"/>
      </w:tabs>
      <w:spacing w:after="0" w:line="240" w:lineRule="auto"/>
    </w:pPr>
  </w:style>
  <w:style w:type="character" w:customStyle="1" w:styleId="Char0">
    <w:name w:val="Υποσέλιδο Char"/>
    <w:basedOn w:val="a0"/>
    <w:link w:val="a5"/>
    <w:uiPriority w:val="99"/>
    <w:rsid w:val="003E13DE"/>
  </w:style>
  <w:style w:type="paragraph" w:styleId="a6">
    <w:name w:val="Balloon Text"/>
    <w:basedOn w:val="a"/>
    <w:link w:val="Char1"/>
    <w:uiPriority w:val="99"/>
    <w:semiHidden/>
    <w:unhideWhenUsed/>
    <w:rsid w:val="003E13DE"/>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3E13DE"/>
    <w:rPr>
      <w:rFonts w:ascii="Tahoma" w:hAnsi="Tahoma" w:cs="Tahoma"/>
      <w:sz w:val="16"/>
      <w:szCs w:val="16"/>
    </w:rPr>
  </w:style>
  <w:style w:type="table" w:customStyle="1" w:styleId="10">
    <w:name w:val="Ανοιχτόχρωμη σκίαση1"/>
    <w:basedOn w:val="a1"/>
    <w:uiPriority w:val="60"/>
    <w:rsid w:val="0047451A"/>
    <w:pPr>
      <w:spacing w:after="0" w:line="240" w:lineRule="auto"/>
    </w:pPr>
    <w:rPr>
      <w:rFonts w:eastAsiaTheme="minorEastAsia"/>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Ανοιχτόχρωμη σκίαση11"/>
    <w:basedOn w:val="a1"/>
    <w:next w:val="20"/>
    <w:uiPriority w:val="60"/>
    <w:rsid w:val="001C33A7"/>
    <w:pPr>
      <w:spacing w:after="0" w:line="240" w:lineRule="auto"/>
    </w:pPr>
    <w:rPr>
      <w:rFonts w:eastAsia="MS Mincho"/>
      <w:color w:val="00000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0">
    <w:name w:val="Ανοιχτόχρωμη σκίαση2"/>
    <w:basedOn w:val="a1"/>
    <w:uiPriority w:val="60"/>
    <w:rsid w:val="001C33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Table Grid"/>
    <w:basedOn w:val="a1"/>
    <w:uiPriority w:val="59"/>
    <w:rsid w:val="00620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Ανοιχτόχρωμη σκίαση3"/>
    <w:basedOn w:val="a1"/>
    <w:uiPriority w:val="60"/>
    <w:rsid w:val="00620DB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32">
    <w:name w:val="Ανοιχτόχρωμη σκίαση32"/>
    <w:basedOn w:val="a1"/>
    <w:uiPriority w:val="60"/>
    <w:rsid w:val="00410CF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31">
    <w:name w:val="Ανοιχτόχρωμη σκίαση31"/>
    <w:basedOn w:val="a1"/>
    <w:uiPriority w:val="60"/>
    <w:rsid w:val="00E222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Επικεφαλίδα 1 Char"/>
    <w:basedOn w:val="a0"/>
    <w:link w:val="1"/>
    <w:uiPriority w:val="9"/>
    <w:rsid w:val="00226402"/>
    <w:rPr>
      <w:rFonts w:asciiTheme="majorHAnsi" w:eastAsiaTheme="majorEastAsia" w:hAnsiTheme="majorHAnsi" w:cstheme="majorBidi"/>
      <w:b/>
      <w:bCs/>
      <w:color w:val="365F91" w:themeColor="accent1" w:themeShade="BF"/>
      <w:sz w:val="28"/>
      <w:szCs w:val="28"/>
    </w:rPr>
  </w:style>
  <w:style w:type="paragraph" w:styleId="a8">
    <w:name w:val="No Spacing"/>
    <w:uiPriority w:val="1"/>
    <w:qFormat/>
    <w:rsid w:val="002E2D9B"/>
    <w:pPr>
      <w:spacing w:after="0" w:line="240" w:lineRule="auto"/>
    </w:pPr>
  </w:style>
  <w:style w:type="character" w:customStyle="1" w:styleId="2Char">
    <w:name w:val="Επικεφαλίδα 2 Char"/>
    <w:basedOn w:val="a0"/>
    <w:link w:val="2"/>
    <w:uiPriority w:val="9"/>
    <w:rsid w:val="00CB3F42"/>
    <w:rPr>
      <w:rFonts w:asciiTheme="majorHAnsi" w:eastAsiaTheme="majorEastAsia" w:hAnsiTheme="majorHAnsi" w:cstheme="majorBidi"/>
      <w:b/>
      <w:bCs/>
      <w:color w:val="4F81BD" w:themeColor="accent1"/>
      <w:sz w:val="26"/>
      <w:szCs w:val="26"/>
    </w:rPr>
  </w:style>
  <w:style w:type="paragraph" w:styleId="a9">
    <w:name w:val="TOC Heading"/>
    <w:basedOn w:val="1"/>
    <w:next w:val="a"/>
    <w:uiPriority w:val="39"/>
    <w:unhideWhenUsed/>
    <w:qFormat/>
    <w:rsid w:val="00446AF4"/>
    <w:pPr>
      <w:outlineLvl w:val="9"/>
    </w:pPr>
  </w:style>
  <w:style w:type="paragraph" w:styleId="12">
    <w:name w:val="toc 1"/>
    <w:basedOn w:val="a"/>
    <w:next w:val="a"/>
    <w:autoRedefine/>
    <w:uiPriority w:val="39"/>
    <w:unhideWhenUsed/>
    <w:rsid w:val="00446AF4"/>
    <w:pPr>
      <w:spacing w:after="100"/>
    </w:pPr>
  </w:style>
  <w:style w:type="paragraph" w:styleId="21">
    <w:name w:val="toc 2"/>
    <w:basedOn w:val="a"/>
    <w:next w:val="a"/>
    <w:autoRedefine/>
    <w:uiPriority w:val="39"/>
    <w:unhideWhenUsed/>
    <w:rsid w:val="00446AF4"/>
    <w:pPr>
      <w:spacing w:after="100"/>
      <w:ind w:left="220"/>
    </w:pPr>
  </w:style>
  <w:style w:type="character" w:styleId="-">
    <w:name w:val="Hyperlink"/>
    <w:basedOn w:val="a0"/>
    <w:uiPriority w:val="99"/>
    <w:unhideWhenUsed/>
    <w:rsid w:val="00446AF4"/>
    <w:rPr>
      <w:color w:val="0000FF" w:themeColor="hyperlink"/>
      <w:u w:val="single"/>
    </w:rPr>
  </w:style>
  <w:style w:type="character" w:customStyle="1" w:styleId="hps">
    <w:name w:val="hps"/>
    <w:basedOn w:val="a0"/>
    <w:rsid w:val="007E49DC"/>
  </w:style>
  <w:style w:type="paragraph" w:styleId="Web">
    <w:name w:val="Normal (Web)"/>
    <w:basedOn w:val="a"/>
    <w:uiPriority w:val="99"/>
    <w:rsid w:val="0093012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a">
    <w:name w:val="Strong"/>
    <w:basedOn w:val="a0"/>
    <w:uiPriority w:val="22"/>
    <w:qFormat/>
    <w:rsid w:val="00E74341"/>
    <w:rPr>
      <w:b/>
      <w:bCs/>
    </w:rPr>
  </w:style>
  <w:style w:type="character" w:customStyle="1" w:styleId="apple-converted-space">
    <w:name w:val="apple-converted-space"/>
    <w:basedOn w:val="a0"/>
    <w:rsid w:val="00E74341"/>
  </w:style>
</w:styles>
</file>

<file path=word/webSettings.xml><?xml version="1.0" encoding="utf-8"?>
<w:webSettings xmlns:r="http://schemas.openxmlformats.org/officeDocument/2006/relationships" xmlns:w="http://schemas.openxmlformats.org/wordprocessingml/2006/main">
  <w:divs>
    <w:div w:id="163085857">
      <w:bodyDiv w:val="1"/>
      <w:marLeft w:val="0"/>
      <w:marRight w:val="0"/>
      <w:marTop w:val="0"/>
      <w:marBottom w:val="0"/>
      <w:divBdr>
        <w:top w:val="none" w:sz="0" w:space="0" w:color="auto"/>
        <w:left w:val="none" w:sz="0" w:space="0" w:color="auto"/>
        <w:bottom w:val="none" w:sz="0" w:space="0" w:color="auto"/>
        <w:right w:val="none" w:sz="0" w:space="0" w:color="auto"/>
      </w:divBdr>
    </w:div>
    <w:div w:id="253787582">
      <w:bodyDiv w:val="1"/>
      <w:marLeft w:val="0"/>
      <w:marRight w:val="0"/>
      <w:marTop w:val="0"/>
      <w:marBottom w:val="0"/>
      <w:divBdr>
        <w:top w:val="none" w:sz="0" w:space="0" w:color="auto"/>
        <w:left w:val="none" w:sz="0" w:space="0" w:color="auto"/>
        <w:bottom w:val="none" w:sz="0" w:space="0" w:color="auto"/>
        <w:right w:val="none" w:sz="0" w:space="0" w:color="auto"/>
      </w:divBdr>
    </w:div>
    <w:div w:id="438843029">
      <w:bodyDiv w:val="1"/>
      <w:marLeft w:val="0"/>
      <w:marRight w:val="0"/>
      <w:marTop w:val="0"/>
      <w:marBottom w:val="0"/>
      <w:divBdr>
        <w:top w:val="none" w:sz="0" w:space="0" w:color="auto"/>
        <w:left w:val="none" w:sz="0" w:space="0" w:color="auto"/>
        <w:bottom w:val="none" w:sz="0" w:space="0" w:color="auto"/>
        <w:right w:val="none" w:sz="0" w:space="0" w:color="auto"/>
      </w:divBdr>
    </w:div>
    <w:div w:id="446853139">
      <w:bodyDiv w:val="1"/>
      <w:marLeft w:val="0"/>
      <w:marRight w:val="0"/>
      <w:marTop w:val="0"/>
      <w:marBottom w:val="0"/>
      <w:divBdr>
        <w:top w:val="none" w:sz="0" w:space="0" w:color="auto"/>
        <w:left w:val="none" w:sz="0" w:space="0" w:color="auto"/>
        <w:bottom w:val="none" w:sz="0" w:space="0" w:color="auto"/>
        <w:right w:val="none" w:sz="0" w:space="0" w:color="auto"/>
      </w:divBdr>
    </w:div>
    <w:div w:id="516427154">
      <w:bodyDiv w:val="1"/>
      <w:marLeft w:val="0"/>
      <w:marRight w:val="0"/>
      <w:marTop w:val="0"/>
      <w:marBottom w:val="0"/>
      <w:divBdr>
        <w:top w:val="none" w:sz="0" w:space="0" w:color="auto"/>
        <w:left w:val="none" w:sz="0" w:space="0" w:color="auto"/>
        <w:bottom w:val="none" w:sz="0" w:space="0" w:color="auto"/>
        <w:right w:val="none" w:sz="0" w:space="0" w:color="auto"/>
      </w:divBdr>
    </w:div>
    <w:div w:id="582448514">
      <w:bodyDiv w:val="1"/>
      <w:marLeft w:val="0"/>
      <w:marRight w:val="0"/>
      <w:marTop w:val="0"/>
      <w:marBottom w:val="0"/>
      <w:divBdr>
        <w:top w:val="none" w:sz="0" w:space="0" w:color="auto"/>
        <w:left w:val="none" w:sz="0" w:space="0" w:color="auto"/>
        <w:bottom w:val="none" w:sz="0" w:space="0" w:color="auto"/>
        <w:right w:val="none" w:sz="0" w:space="0" w:color="auto"/>
      </w:divBdr>
    </w:div>
    <w:div w:id="1000430977">
      <w:bodyDiv w:val="1"/>
      <w:marLeft w:val="0"/>
      <w:marRight w:val="0"/>
      <w:marTop w:val="0"/>
      <w:marBottom w:val="0"/>
      <w:divBdr>
        <w:top w:val="none" w:sz="0" w:space="0" w:color="auto"/>
        <w:left w:val="none" w:sz="0" w:space="0" w:color="auto"/>
        <w:bottom w:val="none" w:sz="0" w:space="0" w:color="auto"/>
        <w:right w:val="none" w:sz="0" w:space="0" w:color="auto"/>
      </w:divBdr>
    </w:div>
    <w:div w:id="1386106645">
      <w:bodyDiv w:val="1"/>
      <w:marLeft w:val="0"/>
      <w:marRight w:val="0"/>
      <w:marTop w:val="0"/>
      <w:marBottom w:val="0"/>
      <w:divBdr>
        <w:top w:val="none" w:sz="0" w:space="0" w:color="auto"/>
        <w:left w:val="none" w:sz="0" w:space="0" w:color="auto"/>
        <w:bottom w:val="none" w:sz="0" w:space="0" w:color="auto"/>
        <w:right w:val="none" w:sz="0" w:space="0" w:color="auto"/>
      </w:divBdr>
    </w:div>
    <w:div w:id="1787120955">
      <w:bodyDiv w:val="1"/>
      <w:marLeft w:val="0"/>
      <w:marRight w:val="0"/>
      <w:marTop w:val="0"/>
      <w:marBottom w:val="0"/>
      <w:divBdr>
        <w:top w:val="none" w:sz="0" w:space="0" w:color="auto"/>
        <w:left w:val="none" w:sz="0" w:space="0" w:color="auto"/>
        <w:bottom w:val="none" w:sz="0" w:space="0" w:color="auto"/>
        <w:right w:val="none" w:sz="0" w:space="0" w:color="auto"/>
      </w:divBdr>
    </w:div>
    <w:div w:id="19748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D91BC-3955-47DC-970F-D0C8003C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8807</Words>
  <Characters>47558</Characters>
  <Application>Microsoft Office Word</Application>
  <DocSecurity>0</DocSecurity>
  <Lines>396</Lines>
  <Paragraphs>112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rekkas_t</dc:creator>
  <cp:keywords/>
  <dc:description/>
  <cp:lastModifiedBy>pneumatikatoua</cp:lastModifiedBy>
  <cp:revision>63</cp:revision>
  <dcterms:created xsi:type="dcterms:W3CDTF">2017-11-13T06:59:00Z</dcterms:created>
  <dcterms:modified xsi:type="dcterms:W3CDTF">2017-11-15T08:34:00Z</dcterms:modified>
</cp:coreProperties>
</file>