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  <w:vAlign w:val="center"/>
            <w:textDirection w:val="btLr"/>
          </w:tcPr>
          <w:p>
            <w:r>
              <w:rPr>
                <w:sz w:val="16"/>
              </w:rPr>
              <w:t>Κλάδος</w:t>
            </w:r>
          </w:p>
        </w:tc>
        <w:tc>
          <w:tcPr>
            <w:tcW w:type="dxa" w:w="665"/>
            <w:vAlign w:val="center"/>
            <w:textDirection w:val="btLr"/>
          </w:tcPr>
          <w:p>
            <w:r>
              <w:rPr>
                <w:sz w:val="16"/>
              </w:rPr>
              <w:t>Αριθμός Έργων</w:t>
            </w:r>
          </w:p>
        </w:tc>
        <w:tc>
          <w:tcPr>
            <w:tcW w:type="dxa" w:w="665"/>
            <w:vAlign w:val="center"/>
            <w:textDirection w:val="btLr"/>
          </w:tcPr>
          <w:p>
            <w:r>
              <w:rPr>
                <w:sz w:val="16"/>
              </w:rPr>
              <w:t>% Συνόλου Έργων</w:t>
            </w:r>
          </w:p>
        </w:tc>
        <w:tc>
          <w:tcPr>
            <w:tcW w:type="dxa" w:w="665"/>
            <w:vAlign w:val="center"/>
            <w:textDirection w:val="btLr"/>
          </w:tcPr>
          <w:p>
            <w:r>
              <w:rPr>
                <w:sz w:val="16"/>
              </w:rPr>
              <w:t>Συνολικός Προϋπολογισμός, εκ. ευρώ</w:t>
            </w:r>
          </w:p>
        </w:tc>
        <w:tc>
          <w:tcPr>
            <w:tcW w:type="dxa" w:w="665"/>
            <w:vAlign w:val="center"/>
            <w:textDirection w:val="btLr"/>
          </w:tcPr>
          <w:p>
            <w:r>
              <w:rPr>
                <w:sz w:val="16"/>
              </w:rPr>
              <w:t>% Συνολικού Προϋπολογισμού</w:t>
            </w:r>
          </w:p>
        </w:tc>
        <w:tc>
          <w:tcPr>
            <w:tcW w:type="dxa" w:w="665"/>
            <w:vAlign w:val="center"/>
            <w:textDirection w:val="btLr"/>
          </w:tcPr>
          <w:p>
            <w:r>
              <w:rPr>
                <w:sz w:val="16"/>
              </w:rPr>
              <w:t>Συνολικός Προϋπολογισμός, μέσος όρος, χιλ. ευρώ</w:t>
            </w:r>
          </w:p>
        </w:tc>
        <w:tc>
          <w:tcPr>
            <w:tcW w:type="dxa" w:w="665"/>
            <w:vAlign w:val="center"/>
            <w:textDirection w:val="btLr"/>
          </w:tcPr>
          <w:p>
            <w:r>
              <w:rPr>
                <w:sz w:val="16"/>
              </w:rPr>
              <w:t>Επιχορηγούμενος Προϋπολογισμός, εκ. ευρώ</w:t>
            </w:r>
          </w:p>
        </w:tc>
        <w:tc>
          <w:tcPr>
            <w:tcW w:type="dxa" w:w="665"/>
            <w:vAlign w:val="center"/>
            <w:textDirection w:val="btLr"/>
          </w:tcPr>
          <w:p>
            <w:r>
              <w:rPr>
                <w:sz w:val="16"/>
              </w:rPr>
              <w:t>% Επιχορηγούμενου Προϋπολογισμού</w:t>
            </w:r>
          </w:p>
        </w:tc>
        <w:tc>
          <w:tcPr>
            <w:tcW w:type="dxa" w:w="665"/>
            <w:vAlign w:val="center"/>
            <w:textDirection w:val="btLr"/>
          </w:tcPr>
          <w:p>
            <w:r>
              <w:rPr>
                <w:sz w:val="16"/>
              </w:rPr>
              <w:t>Επιχορηγούμενος Προϋπολογισμός, μέσος όρος, χιλ. ευρώ</w:t>
            </w:r>
          </w:p>
        </w:tc>
        <w:tc>
          <w:tcPr>
            <w:tcW w:type="dxa" w:w="665"/>
            <w:vAlign w:val="center"/>
            <w:textDirection w:val="btLr"/>
          </w:tcPr>
          <w:p>
            <w:r>
              <w:rPr>
                <w:sz w:val="16"/>
              </w:rPr>
              <w:t>Δημόσια Δαπάνη Ολοκλήρωσης, εκ. ευρώ</w:t>
            </w:r>
          </w:p>
        </w:tc>
        <w:tc>
          <w:tcPr>
            <w:tcW w:type="dxa" w:w="665"/>
            <w:vAlign w:val="center"/>
            <w:textDirection w:val="btLr"/>
          </w:tcPr>
          <w:p>
            <w:r>
              <w:rPr>
                <w:sz w:val="16"/>
              </w:rPr>
              <w:t>% Δημόσιας Δαπάνης Ολοκλήρωσης</w:t>
            </w:r>
          </w:p>
        </w:tc>
        <w:tc>
          <w:tcPr>
            <w:tcW w:type="dxa" w:w="665"/>
            <w:vAlign w:val="center"/>
            <w:textDirection w:val="btLr"/>
          </w:tcPr>
          <w:p>
            <w:r>
              <w:rPr>
                <w:sz w:val="16"/>
              </w:rPr>
              <w:t>Δημόσια Δαπάνη Ολοκλήρωσης, μέσος όρος, χιλ. ευρώ</w:t>
            </w:r>
          </w:p>
        </w:tc>
        <w:tc>
          <w:tcPr>
            <w:tcW w:type="dxa" w:w="665"/>
            <w:vAlign w:val="center"/>
            <w:textDirection w:val="btLr"/>
          </w:tcPr>
          <w:p>
            <w:r>
              <w:rPr>
                <w:sz w:val="16"/>
              </w:rPr>
              <w:t>% Δημόσιας Δαπάνης στο Σύνολο του Προϋπολογισμού</w:t>
            </w:r>
          </w:p>
        </w:tc>
      </w:tr>
      <w:tr>
        <w:tc>
          <w:tcPr>
            <w:tcW w:type="dxa" w:w="665"/>
            <w:vAlign w:val="center"/>
          </w:tcPr>
          <w:p>
            <w:r>
              <w:rPr>
                <w:sz w:val="16"/>
              </w:rPr>
              <w:t>Μεταποίηση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315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64.81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37.50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67.85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119.0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36.70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67.90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116.5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16.55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67.43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52.55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44.14</w:t>
            </w:r>
          </w:p>
        </w:tc>
      </w:tr>
      <w:tr>
        <w:tc>
          <w:tcPr>
            <w:tcW w:type="dxa" w:w="665"/>
            <w:vAlign w:val="center"/>
          </w:tcPr>
          <w:p>
            <w:r>
              <w:rPr>
                <w:sz w:val="16"/>
              </w:rPr>
              <w:t>ΤΠΕ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102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20.98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10.69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19.34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104.8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10.36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19.16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101.5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4.677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19.05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45.86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43.74</w:t>
            </w:r>
          </w:p>
        </w:tc>
      </w:tr>
      <w:tr>
        <w:tc>
          <w:tcPr>
            <w:tcW w:type="dxa" w:w="665"/>
            <w:vAlign w:val="center"/>
          </w:tcPr>
          <w:p>
            <w:r>
              <w:rPr>
                <w:sz w:val="16"/>
              </w:rPr>
              <w:t>Εμπόριο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23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4.732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3.804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6.883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165.4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3.770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6.975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163.9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1.861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7.580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80.91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48.91</w:t>
            </w:r>
          </w:p>
        </w:tc>
      </w:tr>
      <w:tr>
        <w:tc>
          <w:tcPr>
            <w:tcW w:type="dxa" w:w="665"/>
            <w:vAlign w:val="center"/>
          </w:tcPr>
          <w:p>
            <w:r>
              <w:rPr>
                <w:sz w:val="16"/>
              </w:rPr>
              <w:t>Επαγ/Επιστ. Δρ.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31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6.378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2.130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3.854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68.72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2.088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3.863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67.36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0.955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3.893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30.83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44.86</w:t>
            </w:r>
          </w:p>
        </w:tc>
      </w:tr>
      <w:tr>
        <w:tc>
          <w:tcPr>
            <w:tcW w:type="dxa" w:w="665"/>
            <w:vAlign w:val="center"/>
          </w:tcPr>
          <w:p>
            <w:r>
              <w:rPr>
                <w:sz w:val="16"/>
              </w:rPr>
              <w:t>Κατασκευές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13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2.674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0.925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1.674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71.21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0.917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1.697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70.56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0.404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1.646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31.09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43.66</w:t>
            </w:r>
          </w:p>
        </w:tc>
      </w:tr>
      <w:tr>
        <w:tc>
          <w:tcPr>
            <w:tcW w:type="dxa" w:w="665"/>
            <w:vAlign w:val="center"/>
          </w:tcPr>
          <w:p>
            <w:r>
              <w:rPr>
                <w:sz w:val="16"/>
              </w:rPr>
              <w:t>Υγεία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0.411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0.214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0.387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107.2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0.214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0.396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107.2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0.096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0.391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48.05</w:t>
            </w:r>
          </w:p>
        </w:tc>
        <w:tc>
          <w:tcPr>
            <w:tcW w:type="dxa" w:w="665"/>
            <w:vAlign w:val="center"/>
          </w:tcPr>
          <w:p>
            <w:r>
              <w:rPr>
                <w:sz w:val="16"/>
              </w:rPr>
              <w:t>44.82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