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468880" cy="694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b-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694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240" w:lineRule="auto"/>
      </w:pPr>
      <w:r>
        <w:rPr>
          <w:rFonts w:ascii="Calibri" w:hAnsi="Calibri"/>
          <w:b/>
          <w:color w:val="FF6A00"/>
          <w:sz w:val="48"/>
        </w:rPr>
        <w:t>Dossier breve de presentación</w:t>
      </w:r>
    </w:p>
    <w:p>
      <w:pPr>
        <w:spacing w:before="0" w:after="40" w:line="276" w:lineRule="auto"/>
      </w:pPr>
      <w:r>
        <w:rPr>
          <w:rFonts w:ascii="Calibri" w:hAnsi="Calibri"/>
          <w:b/>
          <w:color w:val="15181D"/>
          <w:sz w:val="30"/>
        </w:rPr>
        <w:t>BMB Digital Labs</w:t>
      </w:r>
    </w:p>
    <w:p>
      <w:pPr>
        <w:spacing w:before="0" w:after="280" w:line="276" w:lineRule="auto"/>
      </w:pPr>
      <w:r>
        <w:rPr>
          <w:rFonts w:ascii="Calibri" w:hAnsi="Calibri"/>
          <w:i/>
          <w:color w:val="5C6773"/>
          <w:sz w:val="21"/>
        </w:rPr>
        <w:t>Build. Manage. Brand.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FF0E6"/>
            <w:tcBorders>
              <w:top w:val="single" w:sz="8" w:space="0" w:color="F0B27A"/>
              <w:left w:val="single" w:sz="8" w:space="0" w:color="F0B27A"/>
              <w:bottom w:val="single" w:sz="8" w:space="0" w:color="F0B27A"/>
              <w:right w:val="single" w:sz="8" w:space="0" w:color="F0B27A"/>
            </w:tcBorders>
            <w:vAlign w:val="center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00"/>
                <w:sz w:val="22"/>
              </w:rPr>
              <w:t>Idea central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5181D"/>
                <w:sz w:val="21"/>
              </w:rPr>
              <w:t>BMB Digital Labs crea herramientas digitales privadas, oficinas virtuales y webs personalizadas para emprendedores y pequeños proyectos que quieren trabajar desde cualquier lugar sin perder el control de sus datos, su identidad ni su criterio.</w:t>
            </w:r>
          </w:p>
        </w:tc>
      </w:tr>
    </w:tbl>
    <w:p>
      <w:pPr>
        <w:spacing w:before="0" w:after="120" w:line="276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81D"/>
                <w:sz w:val="19"/>
              </w:rPr>
              <w:t>Web</w:t>
            </w:r>
          </w:p>
        </w:tc>
        <w:tc>
          <w:tcPr>
            <w:tcW w:type="dxa" w:w="7200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81D"/>
                <w:sz w:val="19"/>
              </w:rPr>
              <w:t>https://bmbdigitallabs.com/</w:t>
            </w:r>
          </w:p>
        </w:tc>
      </w:tr>
      <w:tr>
        <w:tc>
          <w:tcPr>
            <w:tcW w:type="dxa" w:w="2160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81D"/>
                <w:sz w:val="19"/>
              </w:rPr>
              <w:t>Actualización</w:t>
            </w:r>
          </w:p>
        </w:tc>
        <w:tc>
          <w:tcPr>
            <w:tcW w:type="dxa" w:w="7200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81D"/>
                <w:sz w:val="19"/>
              </w:rPr>
              <w:t>01/06/2026</w:t>
            </w:r>
          </w:p>
        </w:tc>
      </w:tr>
      <w:tr>
        <w:tc>
          <w:tcPr>
            <w:tcW w:type="dxa" w:w="2160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81D"/>
                <w:sz w:val="19"/>
              </w:rPr>
              <w:t>Uso</w:t>
            </w:r>
          </w:p>
        </w:tc>
        <w:tc>
          <w:tcPr>
            <w:tcW w:type="dxa" w:w="7200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81D"/>
                <w:sz w:val="19"/>
              </w:rPr>
              <w:t>Documento de apoyo para imprimir o convertir en PDF</w:t>
            </w:r>
          </w:p>
        </w:tc>
      </w:tr>
    </w:tbl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Calibri" w:hAnsi="Calibri"/>
        </w:rPr>
        <w:t>1. Qué problema resuelve</w:t>
      </w:r>
    </w:p>
    <w:p>
      <w:pPr>
        <w:spacing w:before="0" w:after="160" w:line="276" w:lineRule="auto"/>
      </w:pPr>
      <w:r>
        <w:rPr>
          <w:rFonts w:ascii="Calibri" w:hAnsi="Calibri"/>
        </w:rPr>
        <w:t>Muchas herramientas digitales obligan al usuario a depender de una nube cerrada. BMB propone una alternativa más soberana: trabajar desde el navegador, cargar archivos propios o bóvedas cifradas, exportar una copia clara y cerrar sesión conservando el control.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Abrir una herramienta desde cualquier ordenador con internet.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Cargar archivos propios o bóvedas cifradas.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Trabajar documentos, datos o informes.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Exportar una copia clara y cerrar la sesión de forma limpia.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</w:rPr>
        <w:t>2. Qué ofrece BMB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536"/>
            <w:shd w:fill="F8F9FB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00"/>
                <w:sz w:val="21"/>
              </w:rPr>
              <w:t>Oficina virtual privada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5181D"/>
                <w:sz w:val="20"/>
              </w:rPr>
              <w:t>Herramientas que permiten trabajar con archivos propios sin entregar el archivo maestro a una plataforma cerrada.</w:t>
            </w:r>
          </w:p>
        </w:tc>
        <w:tc>
          <w:tcPr>
            <w:tcW w:type="dxa" w:w="4536"/>
            <w:shd w:fill="F8F9FB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00"/>
                <w:sz w:val="21"/>
              </w:rPr>
              <w:t>Bóvedas JSON cifradas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5181D"/>
                <w:sz w:val="20"/>
              </w:rPr>
              <w:t>Archivos portables para registros, documentos, servicios, informes o pequeños sistemas internos.</w:t>
            </w:r>
          </w:p>
        </w:tc>
      </w:tr>
    </w:tbl>
    <w:p>
      <w:pPr>
        <w:spacing w:before="0" w:after="80" w:line="276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536"/>
            <w:shd w:fill="F8F9FB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00"/>
                <w:sz w:val="21"/>
              </w:rPr>
              <w:t>Webs personalizadas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5181D"/>
                <w:sz w:val="20"/>
              </w:rPr>
              <w:t>Diseño de presencia digital a partir de los colores favoritos del cliente, revisando contraste y legibilidad.</w:t>
            </w:r>
          </w:p>
        </w:tc>
        <w:tc>
          <w:tcPr>
            <w:tcW w:type="dxa" w:w="4536"/>
            <w:shd w:fill="F8F9FB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00"/>
                <w:sz w:val="21"/>
              </w:rPr>
              <w:t>Gestores privados por sector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5181D"/>
                <w:sz w:val="20"/>
              </w:rPr>
              <w:t>Herramientas específicas para alquileres, documentación, inventarios, presupuestos o pequeños negocios.</w:t>
            </w:r>
          </w:p>
        </w:tc>
      </w:tr>
    </w:tbl>
    <w:p>
      <w:pPr>
        <w:spacing w:before="0" w:after="80" w:line="276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536"/>
            <w:shd w:fill="F8F9FB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00"/>
                <w:sz w:val="21"/>
              </w:rPr>
              <w:t>Integridad y respaldo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5181D"/>
                <w:sz w:val="20"/>
              </w:rPr>
              <w:t>Exportaciones firmadas, historial de cambios, hashes o copias cifradas cuando el proyecto lo requiera.</w:t>
            </w:r>
          </w:p>
        </w:tc>
        <w:tc>
          <w:tcPr>
            <w:tcW w:type="dxa" w:w="4536"/>
            <w:shd w:fill="F8F9FB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00"/>
                <w:sz w:val="21"/>
              </w:rPr>
              <w:t>Servidor mínimo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5181D"/>
                <w:sz w:val="20"/>
              </w:rPr>
              <w:t>Servicios online solo cuando aportan valor claro: publicación, respaldo, sincronización opcional o cobro.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</w:rPr>
        <w:t>3. Proyecto destacado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8F9FB"/>
            <w:tcBorders>
              <w:top w:val="single" w:sz="8" w:space="0" w:color="F0B27A"/>
              <w:left w:val="single" w:sz="8" w:space="0" w:color="F0B27A"/>
              <w:bottom w:val="single" w:sz="8" w:space="0" w:color="F0B27A"/>
              <w:right w:val="single" w:sz="8" w:space="0" w:color="F0B27A"/>
            </w:tcBorders>
            <w:vAlign w:val="center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00"/>
                <w:sz w:val="22"/>
              </w:rPr>
              <w:t>Tu Gestor de Alquileres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5181D"/>
                <w:sz w:val="21"/>
              </w:rPr>
              <w:t>Vista pública: https://bmbdigitallabs.com/proyectos/gestor-alquileres/</w:t>
              <w:br/>
              <w:t>Proyecto de gestión privada de alquileres y patrimonio, orientado a documentos, recibos, fianzas, contratos, anexos e informes. Estado: prelanzamiento / demostración visual inicial.</w:t>
            </w:r>
          </w:p>
        </w:tc>
      </w:tr>
    </w:tbl>
    <w:p>
      <w:pPr>
        <w:spacing w:before="0" w:after="12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</w:rPr>
        <w:t>4. Cliente ideal</w:t>
      </w:r>
    </w:p>
    <w:p>
      <w:pPr>
        <w:spacing w:before="0" w:after="120" w:line="276" w:lineRule="auto"/>
      </w:pPr>
      <w:r>
        <w:rPr>
          <w:rFonts w:ascii="Calibri" w:hAnsi="Calibri"/>
        </w:rPr>
        <w:t>BMB busca clientes curiosos, prácticos y soberanos: personas que quieren avanzar sin perder el control de su proyecto.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Personas con iniciativa emprendedora.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Pequeños negocios que quieren ordenar procesos.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Profesionales que manejan datos o documentos sensibles.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Creadores que quieren una identidad digital propia.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Usuarios que valoran privacidad, exportación y control.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Calibri" w:hAnsi="Calibri"/>
        </w:rPr>
        <w:t>5. Principio de privacidad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FF0E6"/>
            <w:tcBorders>
              <w:top w:val="single" w:sz="8" w:space="0" w:color="F0B27A"/>
              <w:left w:val="single" w:sz="8" w:space="0" w:color="F0B27A"/>
              <w:bottom w:val="single" w:sz="8" w:space="0" w:color="F0B27A"/>
              <w:right w:val="single" w:sz="8" w:space="0" w:color="F0B27A"/>
            </w:tcBorders>
            <w:vAlign w:val="center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00"/>
                <w:sz w:val="22"/>
              </w:rPr>
              <w:t>Si tus datos son tuyos, la herramienta no debe apropiarse de ellos.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5181D"/>
                <w:sz w:val="21"/>
              </w:rPr>
              <w:t>La privacidad debe estar en el diseño del producto: servidor mínimo, exportación clara, cifrado cuando corresponda y cierre limpio de sesión.</w:t>
            </w:r>
          </w:p>
        </w:tc>
      </w:tr>
    </w:tbl>
    <w:p>
      <w:pPr>
        <w:spacing w:before="0" w:after="12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</w:rPr>
        <w:t>6. Límites profesionales</w:t>
      </w:r>
    </w:p>
    <w:p>
      <w:pPr>
        <w:spacing w:before="0" w:after="120" w:line="276" w:lineRule="auto"/>
      </w:pPr>
      <w:r>
        <w:rPr>
          <w:rFonts w:ascii="Calibri" w:hAnsi="Calibri"/>
        </w:rPr>
        <w:t>BMB Digital Labs crea herramientas digitales de apoyo. No sustituye asesoramiento legal, fiscal, contable ni administrativo profesional.</w:t>
      </w:r>
    </w:p>
    <w:p>
      <w:pPr>
        <w:spacing w:before="0" w:after="200" w:line="276" w:lineRule="auto"/>
      </w:pPr>
      <w:r>
        <w:rPr>
          <w:rFonts w:ascii="Calibri" w:hAnsi="Calibri"/>
        </w:rPr>
        <w:t>Los documentos, plantillas o informes con efectos legales, fiscales o administrativos deberán ser revisados por un profesional competente.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</w:rPr>
        <w:t>7. Próximos pasos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Definir alta fiscal y epígrafes con asesoría.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Preparar correo corporativo.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Completar aviso legal, privacidad y cookies.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Crear PDF comercial con capturas.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Definir paquetes iniciales de servicio.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5181D"/>
          <w:sz w:val="21"/>
        </w:rPr>
        <w:t>Preparar contrato o condiciones de mantenimiento.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</w:rPr>
        <w:t>Frase de cierre</w:t>
      </w:r>
    </w:p>
    <w:p>
      <w:pPr>
        <w:spacing w:before="0" w:after="0" w:line="276" w:lineRule="auto"/>
      </w:pPr>
      <w:r>
        <w:rPr>
          <w:rFonts w:ascii="Calibri" w:hAnsi="Calibri"/>
          <w:b/>
          <w:color w:val="FF6A00"/>
          <w:sz w:val="24"/>
        </w:rPr>
        <w:t>La belleza abre la puerta. La claridad firma el contrato. La confianza convierte la visita en cliente.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773"/>
        <w:sz w:val="17"/>
      </w:rPr>
      <w:t>Documento de apoyo. No sustituye asesoramiento legal, fiscal ni contable.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773"/>
        <w:sz w:val="17"/>
      </w:rPr>
      <w:t>BMB Digital Labs | Dossier de presentación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518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FF6A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FF6A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5181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61" w:hanging="259"/>
      <w:contextualSpacing/>
    </w:pPr>
    <w:rPr>
      <w:rFonts w:ascii="Calibri" w:hAnsi="Calibri"/>
      <w:color w:val="15181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61" w:hanging="259"/>
      <w:contextualSpacing/>
    </w:pPr>
    <w:rPr>
      <w:rFonts w:ascii="Calibri" w:hAnsi="Calibri"/>
      <w:color w:val="15181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breve de presentación - BMB Digital Labs</dc:title>
  <dc:subject>Presentación impresa de BMB Digital Labs</dc:subject>
  <dc:creator>BMB Digital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