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D0C745B" w14:textId="77777777" w:rsidR="0079477B" w:rsidRDefault="0079477B" w:rsidP="0079477B">
      <w:pPr>
        <w:jc w:val="center"/>
        <w:rPr>
          <w:rFonts w:ascii="Times New Roman" w:hAnsi="Times New Roman" w:cs="Times New Roman"/>
          <w:b/>
          <w:bCs/>
          <w:u w:val="single"/>
        </w:rPr>
      </w:pPr>
    </w:p>
    <w:p w14:paraId="0194AC31" w14:textId="594F94CD" w:rsidR="0079477B" w:rsidRPr="0079477B" w:rsidRDefault="0079477B" w:rsidP="0079477B">
      <w:pPr>
        <w:jc w:val="center"/>
        <w:rPr>
          <w:rFonts w:ascii="Arial" w:hAnsi="Arial" w:cs="Arial"/>
          <w:b/>
          <w:bCs/>
          <w:u w:val="single"/>
        </w:rPr>
      </w:pPr>
      <w:r w:rsidRPr="0079477B">
        <w:rPr>
          <w:rFonts w:ascii="Arial" w:hAnsi="Arial" w:cs="Arial"/>
          <w:b/>
          <w:bCs/>
          <w:u w:val="single"/>
        </w:rPr>
        <w:t>INDEPENDENCE POLICY</w:t>
      </w:r>
    </w:p>
    <w:p w14:paraId="53074785" w14:textId="77777777" w:rsidR="0079477B" w:rsidRDefault="0079477B" w:rsidP="0079477B">
      <w:pPr>
        <w:jc w:val="center"/>
        <w:rPr>
          <w:rFonts w:ascii="Arial" w:hAnsi="Arial" w:cs="Arial"/>
          <w:b/>
          <w:bCs/>
          <w:u w:val="single"/>
        </w:rPr>
      </w:pPr>
    </w:p>
    <w:p w14:paraId="6CC987CA" w14:textId="3766395F" w:rsidR="00CC4D31" w:rsidRPr="0079477B" w:rsidRDefault="00CC4D31" w:rsidP="00CC4D31">
      <w:pPr>
        <w:rPr>
          <w:rFonts w:ascii="Arial" w:hAnsi="Arial" w:cs="Arial"/>
          <w:b/>
          <w:bCs/>
          <w:u w:val="single"/>
        </w:rPr>
      </w:pPr>
      <w:r>
        <w:rPr>
          <w:rFonts w:ascii="Arial" w:hAnsi="Arial" w:cs="Arial"/>
          <w:b/>
          <w:bCs/>
          <w:u w:val="single"/>
        </w:rPr>
        <w:t>Introduction</w:t>
      </w:r>
    </w:p>
    <w:p w14:paraId="0640EA5F" w14:textId="213B2ED4" w:rsidR="0079477B" w:rsidRDefault="0079477B" w:rsidP="0079477B">
      <w:pPr>
        <w:jc w:val="both"/>
        <w:rPr>
          <w:rFonts w:ascii="Arial" w:hAnsi="Arial" w:cs="Arial"/>
        </w:rPr>
      </w:pPr>
      <w:r w:rsidRPr="0079477B">
        <w:rPr>
          <w:rFonts w:ascii="Arial" w:hAnsi="Arial" w:cs="Arial"/>
        </w:rPr>
        <w:t>Professional integrity and independence is an essential characteristic of all the professions but is more so in the case of accountancy profession. Independence implies that the judgement of a person is not subordinate to the wishes or direction of another person who might have engaged him, or to his own self-interest</w:t>
      </w:r>
      <w:r w:rsidRPr="0079477B">
        <w:rPr>
          <w:rFonts w:ascii="Arial" w:hAnsi="Arial" w:cs="Arial"/>
        </w:rPr>
        <w:t xml:space="preserve">. </w:t>
      </w:r>
      <w:r w:rsidRPr="0079477B">
        <w:rPr>
          <w:rFonts w:ascii="Arial" w:hAnsi="Arial" w:cs="Arial"/>
        </w:rPr>
        <w:t>Independence is a condition of mind as well as personal character and should not be confused with the superficial and visible standards of independence which are sometimes imposed by law. These legal standards may be relaxed or strengthened but the quality of independence remains unaltered.</w:t>
      </w:r>
    </w:p>
    <w:p w14:paraId="32419E62" w14:textId="77777777" w:rsidR="0079477B" w:rsidRDefault="0079477B" w:rsidP="0079477B">
      <w:pPr>
        <w:jc w:val="both"/>
        <w:rPr>
          <w:rFonts w:ascii="Arial" w:hAnsi="Arial" w:cs="Arial"/>
        </w:rPr>
      </w:pPr>
    </w:p>
    <w:p w14:paraId="7456161A" w14:textId="77777777" w:rsidR="0079477B" w:rsidRPr="0079477B" w:rsidRDefault="0079477B" w:rsidP="0079477B">
      <w:pPr>
        <w:jc w:val="both"/>
        <w:rPr>
          <w:rFonts w:ascii="Arial" w:hAnsi="Arial" w:cs="Arial"/>
        </w:rPr>
      </w:pPr>
      <w:r w:rsidRPr="0079477B">
        <w:rPr>
          <w:rFonts w:ascii="Arial" w:hAnsi="Arial" w:cs="Arial"/>
        </w:rPr>
        <w:t>The Code of Ethics for Professional Accountants, issued by International Federation of Accountants (IFAC) defines the term ‘Independence' as follows:</w:t>
      </w:r>
    </w:p>
    <w:p w14:paraId="259AD0EB" w14:textId="77777777" w:rsidR="0079477B" w:rsidRPr="0079477B" w:rsidRDefault="0079477B" w:rsidP="0079477B">
      <w:pPr>
        <w:jc w:val="both"/>
        <w:rPr>
          <w:rFonts w:ascii="Arial" w:hAnsi="Arial" w:cs="Arial"/>
        </w:rPr>
      </w:pPr>
      <w:r w:rsidRPr="0079477B">
        <w:rPr>
          <w:rFonts w:ascii="Arial" w:hAnsi="Arial" w:cs="Arial"/>
        </w:rPr>
        <w:t>“Independence is:</w:t>
      </w:r>
    </w:p>
    <w:p w14:paraId="7C1E97AB" w14:textId="77777777" w:rsidR="0079477B" w:rsidRDefault="0079477B" w:rsidP="0079477B">
      <w:pPr>
        <w:pStyle w:val="ListParagraph"/>
        <w:numPr>
          <w:ilvl w:val="0"/>
          <w:numId w:val="1"/>
        </w:numPr>
        <w:jc w:val="both"/>
        <w:rPr>
          <w:rFonts w:ascii="Arial" w:hAnsi="Arial" w:cs="Arial"/>
        </w:rPr>
      </w:pPr>
      <w:r w:rsidRPr="0079477B">
        <w:rPr>
          <w:rFonts w:ascii="Arial" w:hAnsi="Arial" w:cs="Arial"/>
        </w:rPr>
        <w:t>Independence of mind – the state of mind that permits the provision of an opinion without being affected by influences that compromise professional judgment, allowing an individual to act with integrity, and exercise objectivity and professional skepticism; and</w:t>
      </w:r>
    </w:p>
    <w:p w14:paraId="4F21C774" w14:textId="1AFD226E" w:rsidR="0079477B" w:rsidRDefault="0079477B" w:rsidP="0079477B">
      <w:pPr>
        <w:pStyle w:val="ListParagraph"/>
        <w:numPr>
          <w:ilvl w:val="0"/>
          <w:numId w:val="1"/>
        </w:numPr>
        <w:jc w:val="both"/>
        <w:rPr>
          <w:rFonts w:ascii="Arial" w:hAnsi="Arial" w:cs="Arial"/>
        </w:rPr>
      </w:pPr>
      <w:r w:rsidRPr="0079477B">
        <w:rPr>
          <w:rFonts w:ascii="Arial" w:hAnsi="Arial" w:cs="Arial"/>
        </w:rPr>
        <w:t>Independence in appearance – the avoidance of facts and circumstances that are so significant a reasonable and informed third party, having knowledge of all relevant information, including any safeguards applied, would reasonably conclude a firm's, or a member of the assurance team's, integrity, objectivity or professional skepticism had been compromised.”</w:t>
      </w:r>
    </w:p>
    <w:p w14:paraId="2CEE1B6D" w14:textId="77777777" w:rsidR="00231580" w:rsidRDefault="00231580" w:rsidP="00231580">
      <w:pPr>
        <w:jc w:val="both"/>
        <w:rPr>
          <w:rFonts w:ascii="Arial" w:hAnsi="Arial" w:cs="Arial"/>
        </w:rPr>
      </w:pPr>
    </w:p>
    <w:p w14:paraId="0D3088BF" w14:textId="0D80B95E" w:rsidR="00231580" w:rsidRDefault="00231580" w:rsidP="00231580">
      <w:pPr>
        <w:jc w:val="both"/>
        <w:rPr>
          <w:rFonts w:ascii="Arial" w:hAnsi="Arial" w:cs="Arial"/>
        </w:rPr>
      </w:pPr>
      <w:r w:rsidRPr="00231580">
        <w:rPr>
          <w:rFonts w:ascii="Arial" w:hAnsi="Arial" w:cs="Arial"/>
        </w:rPr>
        <w:t>The objective of an audit of financial statements, prepared within a framework of recognized accounting policies and practices and relevant statutory requirements, if any, is to enable an auditor to express an opinion on such financial statements. The auditor's opinion helps determination of the true and fair view of the financial position and operating results of an enterprise.</w:t>
      </w:r>
      <w:r>
        <w:rPr>
          <w:rFonts w:ascii="Arial" w:hAnsi="Arial" w:cs="Arial"/>
        </w:rPr>
        <w:t xml:space="preserve"> </w:t>
      </w:r>
      <w:r w:rsidRPr="00231580">
        <w:rPr>
          <w:rFonts w:ascii="Arial" w:hAnsi="Arial" w:cs="Arial"/>
        </w:rPr>
        <w:t>The auditor should be straightforward, honest and sincere in his approach to his professional work. He must be fair and must not allow prejudice or bias to override his</w:t>
      </w:r>
      <w:r>
        <w:rPr>
          <w:rFonts w:ascii="Arial" w:hAnsi="Arial" w:cs="Arial"/>
        </w:rPr>
        <w:t xml:space="preserve">  </w:t>
      </w:r>
      <w:r w:rsidRPr="00231580">
        <w:rPr>
          <w:rFonts w:ascii="Arial" w:hAnsi="Arial" w:cs="Arial"/>
        </w:rPr>
        <w:t>objectivity. He should maintain an impartial attitude and both be and appear to be free of any interest which might be regarded, whatever its actual effect, as being incompatible with integrity and objectivity</w:t>
      </w:r>
      <w:r>
        <w:rPr>
          <w:rFonts w:ascii="Arial" w:hAnsi="Arial" w:cs="Arial"/>
        </w:rPr>
        <w:t>.</w:t>
      </w:r>
    </w:p>
    <w:p w14:paraId="18F9FF2D" w14:textId="77777777" w:rsidR="00231580" w:rsidRDefault="00231580" w:rsidP="00231580">
      <w:pPr>
        <w:jc w:val="both"/>
        <w:rPr>
          <w:rFonts w:ascii="Arial" w:hAnsi="Arial" w:cs="Arial"/>
        </w:rPr>
      </w:pPr>
    </w:p>
    <w:p w14:paraId="458B51EC" w14:textId="58DFDC2E" w:rsidR="00231580" w:rsidRDefault="00231580" w:rsidP="00231580">
      <w:pPr>
        <w:jc w:val="both"/>
        <w:rPr>
          <w:rFonts w:ascii="Arial" w:hAnsi="Arial" w:cs="Arial"/>
        </w:rPr>
      </w:pPr>
      <w:r w:rsidRPr="00231580">
        <w:rPr>
          <w:rFonts w:ascii="Arial" w:hAnsi="Arial" w:cs="Arial"/>
        </w:rPr>
        <w:t>Standing alone, the word “Independence” may lead observers to suppose that a person exercising professional judgment ought to be free from all economic, financial and other relationships. This is impossible, as every member of society has relationships with others. Therefore, the significance of economic, financial and other relationships should also be evaluated in the light of what a reasonable and informed third party having knowledge of all relevant information would reasonably conclude to be unacceptable.</w:t>
      </w:r>
      <w:r>
        <w:rPr>
          <w:rFonts w:ascii="Arial" w:hAnsi="Arial" w:cs="Arial"/>
        </w:rPr>
        <w:t xml:space="preserve"> </w:t>
      </w:r>
      <w:r w:rsidRPr="00231580">
        <w:rPr>
          <w:rFonts w:ascii="Arial" w:hAnsi="Arial" w:cs="Arial"/>
        </w:rPr>
        <w:t xml:space="preserve">Many different circumstances, or combination of circumstances, may be relevant and accordingly it is </w:t>
      </w:r>
      <w:r w:rsidRPr="00231580">
        <w:rPr>
          <w:rFonts w:ascii="Arial" w:hAnsi="Arial" w:cs="Arial"/>
        </w:rPr>
        <w:lastRenderedPageBreak/>
        <w:t>impossible to define every situation that creates threats to independence and specify the appropriate mitigating action that should be taken. In addition, the nature of assurance engagements may differ and consequently different threats may exist, requiring the application of different</w:t>
      </w:r>
      <w:r>
        <w:rPr>
          <w:rFonts w:ascii="Arial" w:hAnsi="Arial" w:cs="Arial"/>
        </w:rPr>
        <w:t xml:space="preserve"> </w:t>
      </w:r>
      <w:r w:rsidRPr="00231580">
        <w:rPr>
          <w:rFonts w:ascii="Arial" w:hAnsi="Arial" w:cs="Arial"/>
        </w:rPr>
        <w:t>safeguards. A conceptual framework that requires chartered accountants to identify, evaluate and address threats to independence, rather than merely comply with a set of specific rules in the public interest</w:t>
      </w:r>
      <w:r>
        <w:rPr>
          <w:rFonts w:ascii="Arial" w:hAnsi="Arial" w:cs="Arial"/>
        </w:rPr>
        <w:t xml:space="preserve">. </w:t>
      </w:r>
    </w:p>
    <w:p w14:paraId="1135EEF3" w14:textId="77777777" w:rsidR="00231580" w:rsidRDefault="00231580" w:rsidP="00231580">
      <w:pPr>
        <w:jc w:val="both"/>
        <w:rPr>
          <w:rFonts w:ascii="Arial" w:hAnsi="Arial" w:cs="Arial"/>
        </w:rPr>
      </w:pPr>
    </w:p>
    <w:p w14:paraId="2CA221AF" w14:textId="46D6BFA9" w:rsidR="00231580" w:rsidRPr="00206568" w:rsidRDefault="00231580" w:rsidP="00231580">
      <w:pPr>
        <w:jc w:val="both"/>
        <w:rPr>
          <w:rFonts w:ascii="Arial" w:hAnsi="Arial" w:cs="Arial"/>
          <w:b/>
          <w:bCs/>
          <w:u w:val="single"/>
        </w:rPr>
      </w:pPr>
      <w:r w:rsidRPr="00206568">
        <w:rPr>
          <w:rFonts w:ascii="Arial" w:hAnsi="Arial" w:cs="Arial"/>
          <w:b/>
          <w:bCs/>
          <w:u w:val="single"/>
        </w:rPr>
        <w:t>Threats to Independence</w:t>
      </w:r>
    </w:p>
    <w:p w14:paraId="391087E7" w14:textId="14107019" w:rsidR="00231580" w:rsidRPr="00231580" w:rsidRDefault="00231580" w:rsidP="00231580">
      <w:pPr>
        <w:jc w:val="both"/>
        <w:rPr>
          <w:rFonts w:ascii="Arial" w:hAnsi="Arial" w:cs="Arial"/>
        </w:rPr>
      </w:pPr>
      <w:r w:rsidRPr="00231580">
        <w:rPr>
          <w:rFonts w:ascii="Arial" w:hAnsi="Arial" w:cs="Arial"/>
        </w:rPr>
        <w:t>The Code of Ethics for Professional Accountants, prepared by the International Federation of Accountants (IFAC) identifies five types of threats. These are:</w:t>
      </w:r>
    </w:p>
    <w:p w14:paraId="0F955E63" w14:textId="77777777" w:rsidR="00231580" w:rsidRDefault="00231580" w:rsidP="00231580">
      <w:pPr>
        <w:pStyle w:val="ListParagraph"/>
        <w:numPr>
          <w:ilvl w:val="0"/>
          <w:numId w:val="3"/>
        </w:numPr>
        <w:jc w:val="both"/>
        <w:rPr>
          <w:rFonts w:ascii="Arial" w:hAnsi="Arial" w:cs="Arial"/>
        </w:rPr>
      </w:pPr>
      <w:r w:rsidRPr="00231580">
        <w:rPr>
          <w:rFonts w:ascii="Arial" w:hAnsi="Arial" w:cs="Arial"/>
        </w:rPr>
        <w:t>Self-interest threats, which occur when an auditing firm, its partner or associate could benefit from a financial interest in an audit client. Examples include (</w:t>
      </w:r>
      <w:proofErr w:type="spellStart"/>
      <w:r w:rsidRPr="00231580">
        <w:rPr>
          <w:rFonts w:ascii="Arial" w:hAnsi="Arial" w:cs="Arial"/>
        </w:rPr>
        <w:t>i</w:t>
      </w:r>
      <w:proofErr w:type="spellEnd"/>
      <w:r w:rsidRPr="00231580">
        <w:rPr>
          <w:rFonts w:ascii="Arial" w:hAnsi="Arial" w:cs="Arial"/>
        </w:rPr>
        <w:t>) direct financial interest or materially significant indirect financial interest in a client, (ii) loan or guarantee to or from the concerned client, (iii) undue dependence on a client's fees and, hence, concerns about losing the engagement, (iv) close business relationship with an audit client, (v) potential employment with the client, and (vi) contingent fees for the audit engagement.</w:t>
      </w:r>
    </w:p>
    <w:p w14:paraId="3138ABED" w14:textId="77777777" w:rsidR="00231580" w:rsidRDefault="00231580" w:rsidP="00231580">
      <w:pPr>
        <w:pStyle w:val="ListParagraph"/>
        <w:numPr>
          <w:ilvl w:val="0"/>
          <w:numId w:val="3"/>
        </w:numPr>
        <w:jc w:val="both"/>
        <w:rPr>
          <w:rFonts w:ascii="Arial" w:hAnsi="Arial" w:cs="Arial"/>
        </w:rPr>
      </w:pPr>
      <w:r w:rsidRPr="00231580">
        <w:rPr>
          <w:rFonts w:ascii="Arial" w:hAnsi="Arial" w:cs="Arial"/>
        </w:rPr>
        <w:t>Self-review threats, which occur when during a review of any judgement or conclusion reached in a previous audit or non-audit engagement, or when a member of the audit team was previously a director or senior employee of the client. Instances where such threats come into play are (</w:t>
      </w:r>
      <w:proofErr w:type="spellStart"/>
      <w:r w:rsidRPr="00231580">
        <w:rPr>
          <w:rFonts w:ascii="Arial" w:hAnsi="Arial" w:cs="Arial"/>
        </w:rPr>
        <w:t>i</w:t>
      </w:r>
      <w:proofErr w:type="spellEnd"/>
      <w:r w:rsidRPr="00231580">
        <w:rPr>
          <w:rFonts w:ascii="Arial" w:hAnsi="Arial" w:cs="Arial"/>
        </w:rPr>
        <w:t>) when an auditor having recently been a director or senior officer of the company, and</w:t>
      </w:r>
      <w:r>
        <w:rPr>
          <w:rFonts w:ascii="Arial" w:hAnsi="Arial" w:cs="Arial"/>
        </w:rPr>
        <w:t xml:space="preserve"> </w:t>
      </w:r>
      <w:r w:rsidRPr="00231580">
        <w:rPr>
          <w:rFonts w:ascii="Arial" w:hAnsi="Arial" w:cs="Arial"/>
        </w:rPr>
        <w:t>(ii) when auditors perform services that are themselves subject matters of audit.</w:t>
      </w:r>
    </w:p>
    <w:p w14:paraId="7B1E46CA" w14:textId="77777777" w:rsidR="00231580" w:rsidRDefault="00231580" w:rsidP="00231580">
      <w:pPr>
        <w:pStyle w:val="ListParagraph"/>
        <w:numPr>
          <w:ilvl w:val="0"/>
          <w:numId w:val="3"/>
        </w:numPr>
        <w:jc w:val="both"/>
        <w:rPr>
          <w:rFonts w:ascii="Arial" w:hAnsi="Arial" w:cs="Arial"/>
        </w:rPr>
      </w:pPr>
      <w:r w:rsidRPr="00231580">
        <w:rPr>
          <w:rFonts w:ascii="Arial" w:hAnsi="Arial" w:cs="Arial"/>
        </w:rPr>
        <w:t>Advocacy threats, which occur when the auditor promotes, or is perceived to promote, a client's opinion to a point where people may believe that objectivity is getting compromised, e.g. when an auditor deals with shares or securities of the audited company, or becomes the client's advocate in litigation and third party disputes.</w:t>
      </w:r>
    </w:p>
    <w:p w14:paraId="33485438" w14:textId="77777777" w:rsidR="00231580" w:rsidRDefault="00231580" w:rsidP="00231580">
      <w:pPr>
        <w:pStyle w:val="ListParagraph"/>
        <w:numPr>
          <w:ilvl w:val="0"/>
          <w:numId w:val="3"/>
        </w:numPr>
        <w:jc w:val="both"/>
        <w:rPr>
          <w:rFonts w:ascii="Arial" w:hAnsi="Arial" w:cs="Arial"/>
        </w:rPr>
      </w:pPr>
      <w:r w:rsidRPr="00231580">
        <w:rPr>
          <w:rFonts w:ascii="Arial" w:hAnsi="Arial" w:cs="Arial"/>
        </w:rPr>
        <w:t>Familiarity threats are self-evident, and occur when auditors form relationships with the client where they end up being too sympathetic to the client's interests. This can occur in many ways: (</w:t>
      </w:r>
      <w:proofErr w:type="spellStart"/>
      <w:r w:rsidRPr="00231580">
        <w:rPr>
          <w:rFonts w:ascii="Arial" w:hAnsi="Arial" w:cs="Arial"/>
        </w:rPr>
        <w:t>i</w:t>
      </w:r>
      <w:proofErr w:type="spellEnd"/>
      <w:r w:rsidRPr="00231580">
        <w:rPr>
          <w:rFonts w:ascii="Arial" w:hAnsi="Arial" w:cs="Arial"/>
        </w:rPr>
        <w:t>) close relative of the audit team working in a senior position in the client company, (ii) former partner of the audit firm being a director or senior employee of the client, (iii) long association between specific auditors and their specific client counterparts, and (iv) acceptance of significant gifts or hospitality from the client company, its directors or employees.</w:t>
      </w:r>
    </w:p>
    <w:p w14:paraId="4EC52E02" w14:textId="443B5568" w:rsidR="00231580" w:rsidRDefault="00231580" w:rsidP="00231580">
      <w:pPr>
        <w:pStyle w:val="ListParagraph"/>
        <w:numPr>
          <w:ilvl w:val="0"/>
          <w:numId w:val="3"/>
        </w:numPr>
        <w:jc w:val="both"/>
        <w:rPr>
          <w:rFonts w:ascii="Arial" w:hAnsi="Arial" w:cs="Arial"/>
        </w:rPr>
      </w:pPr>
      <w:r w:rsidRPr="00231580">
        <w:rPr>
          <w:rFonts w:ascii="Arial" w:hAnsi="Arial" w:cs="Arial"/>
        </w:rPr>
        <w:t>Intimidation threats, which occur when auditors are deterred from acting objectively with an adequate degree of professional skepticism. Basically, these could happen because of threat of replacement over disagreements with the application of accounting principles, or pressure to disproportionately reduce work in response to reduced audit fees.</w:t>
      </w:r>
    </w:p>
    <w:p w14:paraId="625BB07F" w14:textId="77777777" w:rsidR="00206568" w:rsidRDefault="00206568" w:rsidP="00206568">
      <w:pPr>
        <w:jc w:val="both"/>
        <w:rPr>
          <w:rFonts w:ascii="Arial" w:hAnsi="Arial" w:cs="Arial"/>
        </w:rPr>
      </w:pPr>
    </w:p>
    <w:p w14:paraId="40C07CB3" w14:textId="3333D0F1" w:rsidR="00206568" w:rsidRDefault="00206568" w:rsidP="00206568">
      <w:pPr>
        <w:jc w:val="both"/>
        <w:rPr>
          <w:rFonts w:ascii="Arial" w:hAnsi="Arial" w:cs="Arial"/>
          <w:b/>
          <w:bCs/>
          <w:u w:val="single"/>
        </w:rPr>
      </w:pPr>
      <w:r w:rsidRPr="00206568">
        <w:rPr>
          <w:rFonts w:ascii="Arial" w:hAnsi="Arial" w:cs="Arial"/>
          <w:b/>
          <w:bCs/>
          <w:u w:val="single"/>
        </w:rPr>
        <w:t xml:space="preserve">Safeguards </w:t>
      </w:r>
      <w:r w:rsidR="006E7C85">
        <w:rPr>
          <w:rFonts w:ascii="Arial" w:hAnsi="Arial" w:cs="Arial"/>
          <w:b/>
          <w:bCs/>
          <w:u w:val="single"/>
        </w:rPr>
        <w:t>to be applied</w:t>
      </w:r>
    </w:p>
    <w:p w14:paraId="3495706F" w14:textId="07D30505" w:rsidR="00206568" w:rsidRDefault="00206568" w:rsidP="00206568">
      <w:pPr>
        <w:jc w:val="both"/>
        <w:rPr>
          <w:rFonts w:ascii="Arial" w:hAnsi="Arial" w:cs="Arial"/>
        </w:rPr>
      </w:pPr>
      <w:r>
        <w:rPr>
          <w:rFonts w:ascii="Arial" w:hAnsi="Arial" w:cs="Arial"/>
        </w:rPr>
        <w:t xml:space="preserve">The firm understands that independence is of paramount importance while performing an audit of financial statements of any entity and has therefore established policies and procedures to provide reasonable assurance that the firm, its personnel and others (wherever applicable) subject to independence requirements maintain independence as required by relevant ethical </w:t>
      </w:r>
      <w:r>
        <w:rPr>
          <w:rFonts w:ascii="Arial" w:hAnsi="Arial" w:cs="Arial"/>
        </w:rPr>
        <w:lastRenderedPageBreak/>
        <w:t>requirements. These policies and procedures are designed to also notify the firm of breaches of independence requirements and enable the firm to take appropriate actions to resolve such breaches.</w:t>
      </w:r>
      <w:r w:rsidR="009537FE">
        <w:rPr>
          <w:rFonts w:ascii="Arial" w:hAnsi="Arial" w:cs="Arial"/>
        </w:rPr>
        <w:t xml:space="preserve"> The </w:t>
      </w:r>
    </w:p>
    <w:p w14:paraId="4EAB603E" w14:textId="77777777" w:rsidR="009537FE" w:rsidRDefault="009537FE" w:rsidP="00206568">
      <w:pPr>
        <w:jc w:val="both"/>
        <w:rPr>
          <w:rFonts w:ascii="Arial" w:hAnsi="Arial" w:cs="Arial"/>
        </w:rPr>
      </w:pPr>
    </w:p>
    <w:p w14:paraId="24204A27" w14:textId="57AACD1C" w:rsidR="009537FE" w:rsidRDefault="009537FE" w:rsidP="00206568">
      <w:pPr>
        <w:jc w:val="both"/>
        <w:rPr>
          <w:rFonts w:ascii="Arial" w:hAnsi="Arial" w:cs="Arial"/>
        </w:rPr>
      </w:pPr>
      <w:r>
        <w:rPr>
          <w:rFonts w:ascii="Arial" w:hAnsi="Arial" w:cs="Arial"/>
        </w:rPr>
        <w:t>The following activities are performed as part of the firm’s policy to comply with independence requirements.</w:t>
      </w:r>
    </w:p>
    <w:p w14:paraId="584143DB" w14:textId="27412C11" w:rsidR="009537FE" w:rsidRDefault="009537FE" w:rsidP="009537FE">
      <w:pPr>
        <w:pStyle w:val="ListParagraph"/>
        <w:numPr>
          <w:ilvl w:val="0"/>
          <w:numId w:val="5"/>
        </w:numPr>
        <w:jc w:val="both"/>
        <w:rPr>
          <w:rFonts w:ascii="Arial" w:hAnsi="Arial" w:cs="Arial"/>
        </w:rPr>
      </w:pPr>
      <w:r>
        <w:rPr>
          <w:rFonts w:ascii="Arial" w:hAnsi="Arial" w:cs="Arial"/>
        </w:rPr>
        <w:t xml:space="preserve">Annual written </w:t>
      </w:r>
      <w:r w:rsidRPr="009537FE">
        <w:rPr>
          <w:rFonts w:ascii="Arial" w:hAnsi="Arial" w:cs="Arial"/>
        </w:rPr>
        <w:t xml:space="preserve">confirmation of compliance with </w:t>
      </w:r>
      <w:r>
        <w:rPr>
          <w:rFonts w:ascii="Arial" w:hAnsi="Arial" w:cs="Arial"/>
        </w:rPr>
        <w:t>the firm’s</w:t>
      </w:r>
      <w:r w:rsidRPr="009537FE">
        <w:rPr>
          <w:rFonts w:ascii="Arial" w:hAnsi="Arial" w:cs="Arial"/>
        </w:rPr>
        <w:t xml:space="preserve"> policies and procedures on independence from all firm personnel </w:t>
      </w:r>
      <w:r>
        <w:rPr>
          <w:rFonts w:ascii="Arial" w:hAnsi="Arial" w:cs="Arial"/>
        </w:rPr>
        <w:t xml:space="preserve">who are </w:t>
      </w:r>
      <w:r w:rsidRPr="009537FE">
        <w:rPr>
          <w:rFonts w:ascii="Arial" w:hAnsi="Arial" w:cs="Arial"/>
        </w:rPr>
        <w:t>required to be independent by relevant ethical requirements</w:t>
      </w:r>
      <w:r>
        <w:rPr>
          <w:rFonts w:ascii="Arial" w:hAnsi="Arial" w:cs="Arial"/>
        </w:rPr>
        <w:t xml:space="preserve"> is obtained.</w:t>
      </w:r>
    </w:p>
    <w:p w14:paraId="5356FF2B" w14:textId="77777777" w:rsidR="008037D0" w:rsidRDefault="008037D0" w:rsidP="008037D0">
      <w:pPr>
        <w:pStyle w:val="ListParagraph"/>
        <w:jc w:val="both"/>
        <w:rPr>
          <w:rFonts w:ascii="Arial" w:hAnsi="Arial" w:cs="Arial"/>
        </w:rPr>
      </w:pPr>
    </w:p>
    <w:p w14:paraId="7AF87610" w14:textId="41C91F9B" w:rsidR="009537FE" w:rsidRDefault="009537FE" w:rsidP="009537FE">
      <w:pPr>
        <w:pStyle w:val="ListParagraph"/>
        <w:numPr>
          <w:ilvl w:val="0"/>
          <w:numId w:val="5"/>
        </w:numPr>
        <w:jc w:val="both"/>
        <w:rPr>
          <w:rFonts w:ascii="Arial" w:hAnsi="Arial" w:cs="Arial"/>
        </w:rPr>
      </w:pPr>
      <w:r>
        <w:rPr>
          <w:rFonts w:ascii="Arial" w:hAnsi="Arial" w:cs="Arial"/>
        </w:rPr>
        <w:t xml:space="preserve">The firm’s quality control manual and independence policy </w:t>
      </w:r>
      <w:r w:rsidR="00784720">
        <w:rPr>
          <w:rFonts w:ascii="Arial" w:hAnsi="Arial" w:cs="Arial"/>
        </w:rPr>
        <w:t>are</w:t>
      </w:r>
      <w:r>
        <w:rPr>
          <w:rFonts w:ascii="Arial" w:hAnsi="Arial" w:cs="Arial"/>
        </w:rPr>
        <w:t xml:space="preserve"> circulated among team members who are required to be independent as per relevant ethical requirements.</w:t>
      </w:r>
    </w:p>
    <w:p w14:paraId="5DC6BFB3" w14:textId="77777777" w:rsidR="008037D0" w:rsidRDefault="008037D0" w:rsidP="008037D0">
      <w:pPr>
        <w:pStyle w:val="ListParagraph"/>
        <w:jc w:val="both"/>
        <w:rPr>
          <w:rFonts w:ascii="Arial" w:hAnsi="Arial" w:cs="Arial"/>
        </w:rPr>
      </w:pPr>
    </w:p>
    <w:p w14:paraId="06171C74" w14:textId="420F3DE8" w:rsidR="009537FE" w:rsidRDefault="00784720" w:rsidP="009537FE">
      <w:pPr>
        <w:pStyle w:val="ListParagraph"/>
        <w:numPr>
          <w:ilvl w:val="0"/>
          <w:numId w:val="5"/>
        </w:numPr>
        <w:jc w:val="both"/>
        <w:rPr>
          <w:rFonts w:ascii="Arial" w:hAnsi="Arial" w:cs="Arial"/>
        </w:rPr>
      </w:pPr>
      <w:r w:rsidRPr="00784720">
        <w:rPr>
          <w:rFonts w:ascii="Arial" w:hAnsi="Arial" w:cs="Arial"/>
        </w:rPr>
        <w:t>Each partner or staff member assigned to an assurance engagement shall confirm to the engagement partner that he or she is independent from the client and engagement or notify the engagement partner of any threat or possible threat to independence so that appropriate safeguards can be applied</w:t>
      </w:r>
      <w:r>
        <w:rPr>
          <w:rFonts w:ascii="Arial" w:hAnsi="Arial" w:cs="Arial"/>
        </w:rPr>
        <w:t>.</w:t>
      </w:r>
    </w:p>
    <w:p w14:paraId="3DCED40A" w14:textId="77777777" w:rsidR="008037D0" w:rsidRDefault="008037D0" w:rsidP="008037D0">
      <w:pPr>
        <w:pStyle w:val="ListParagraph"/>
        <w:jc w:val="both"/>
        <w:rPr>
          <w:rFonts w:ascii="Arial" w:hAnsi="Arial" w:cs="Arial"/>
        </w:rPr>
      </w:pPr>
    </w:p>
    <w:p w14:paraId="68788105" w14:textId="2CB52EBD" w:rsidR="00784720" w:rsidRDefault="00784720" w:rsidP="009537FE">
      <w:pPr>
        <w:pStyle w:val="ListParagraph"/>
        <w:numPr>
          <w:ilvl w:val="0"/>
          <w:numId w:val="5"/>
        </w:numPr>
        <w:jc w:val="both"/>
        <w:rPr>
          <w:rFonts w:ascii="Arial" w:hAnsi="Arial" w:cs="Arial"/>
        </w:rPr>
      </w:pPr>
      <w:r>
        <w:rPr>
          <w:rFonts w:ascii="Arial" w:hAnsi="Arial" w:cs="Arial"/>
        </w:rPr>
        <w:t>When a threat to independence is identified, taking appropriate actions to eliminate or reduce the threat such as</w:t>
      </w:r>
    </w:p>
    <w:p w14:paraId="3C859E56" w14:textId="77777777" w:rsidR="008037D0" w:rsidRDefault="008037D0" w:rsidP="008037D0">
      <w:pPr>
        <w:pStyle w:val="ListParagraph"/>
        <w:jc w:val="both"/>
        <w:rPr>
          <w:rFonts w:ascii="Arial" w:hAnsi="Arial" w:cs="Arial"/>
        </w:rPr>
      </w:pPr>
    </w:p>
    <w:p w14:paraId="3220D7BB" w14:textId="78A3FB75" w:rsidR="00784720" w:rsidRDefault="00784720" w:rsidP="00784720">
      <w:pPr>
        <w:pStyle w:val="ListParagraph"/>
        <w:numPr>
          <w:ilvl w:val="0"/>
          <w:numId w:val="6"/>
        </w:numPr>
        <w:jc w:val="both"/>
        <w:rPr>
          <w:rFonts w:ascii="Arial" w:hAnsi="Arial" w:cs="Arial"/>
        </w:rPr>
      </w:pPr>
      <w:r>
        <w:rPr>
          <w:rFonts w:ascii="Arial" w:hAnsi="Arial" w:cs="Arial"/>
        </w:rPr>
        <w:t>Ceasing to be a member of the engagement team</w:t>
      </w:r>
    </w:p>
    <w:p w14:paraId="09B840F0" w14:textId="42A95322" w:rsidR="00784720" w:rsidRDefault="00784720" w:rsidP="00784720">
      <w:pPr>
        <w:pStyle w:val="ListParagraph"/>
        <w:numPr>
          <w:ilvl w:val="0"/>
          <w:numId w:val="6"/>
        </w:numPr>
        <w:jc w:val="both"/>
        <w:rPr>
          <w:rFonts w:ascii="Arial" w:hAnsi="Arial" w:cs="Arial"/>
        </w:rPr>
      </w:pPr>
      <w:r>
        <w:rPr>
          <w:rFonts w:ascii="Arial" w:hAnsi="Arial" w:cs="Arial"/>
        </w:rPr>
        <w:t>Ceasing or altering specific types of work or services performed in a</w:t>
      </w:r>
      <w:r w:rsidR="008037D0">
        <w:rPr>
          <w:rFonts w:ascii="Arial" w:hAnsi="Arial" w:cs="Arial"/>
        </w:rPr>
        <w:t>n</w:t>
      </w:r>
      <w:r>
        <w:rPr>
          <w:rFonts w:ascii="Arial" w:hAnsi="Arial" w:cs="Arial"/>
        </w:rPr>
        <w:t xml:space="preserve"> engagement</w:t>
      </w:r>
    </w:p>
    <w:p w14:paraId="3A1C9A5F" w14:textId="17BD19E5" w:rsidR="00784720" w:rsidRDefault="00784720" w:rsidP="00784720">
      <w:pPr>
        <w:pStyle w:val="ListParagraph"/>
        <w:numPr>
          <w:ilvl w:val="0"/>
          <w:numId w:val="6"/>
        </w:numPr>
        <w:jc w:val="both"/>
        <w:rPr>
          <w:rFonts w:ascii="Arial" w:hAnsi="Arial" w:cs="Arial"/>
        </w:rPr>
      </w:pPr>
      <w:r>
        <w:rPr>
          <w:rFonts w:ascii="Arial" w:hAnsi="Arial" w:cs="Arial"/>
        </w:rPr>
        <w:t>Divesting of a financial or ownership interest</w:t>
      </w:r>
    </w:p>
    <w:p w14:paraId="5D08380C" w14:textId="38AA7CAD" w:rsidR="00784720" w:rsidRDefault="008037D0" w:rsidP="00784720">
      <w:pPr>
        <w:pStyle w:val="ListParagraph"/>
        <w:numPr>
          <w:ilvl w:val="0"/>
          <w:numId w:val="6"/>
        </w:numPr>
        <w:jc w:val="both"/>
        <w:rPr>
          <w:rFonts w:ascii="Arial" w:hAnsi="Arial" w:cs="Arial"/>
        </w:rPr>
      </w:pPr>
      <w:r>
        <w:rPr>
          <w:rFonts w:ascii="Arial" w:hAnsi="Arial" w:cs="Arial"/>
        </w:rPr>
        <w:t>Ceasing or changing the nature of personal or business relationships with clients</w:t>
      </w:r>
    </w:p>
    <w:p w14:paraId="175F0EC1" w14:textId="3C6D7A46" w:rsidR="008037D0" w:rsidRDefault="008037D0" w:rsidP="00784720">
      <w:pPr>
        <w:pStyle w:val="ListParagraph"/>
        <w:numPr>
          <w:ilvl w:val="0"/>
          <w:numId w:val="6"/>
        </w:numPr>
        <w:jc w:val="both"/>
        <w:rPr>
          <w:rFonts w:ascii="Arial" w:hAnsi="Arial" w:cs="Arial"/>
        </w:rPr>
      </w:pPr>
      <w:r>
        <w:rPr>
          <w:rFonts w:ascii="Arial" w:hAnsi="Arial" w:cs="Arial"/>
        </w:rPr>
        <w:t>Submitting work for additional review by other partners and staff</w:t>
      </w:r>
    </w:p>
    <w:p w14:paraId="3579C29E" w14:textId="2F8C5666" w:rsidR="008037D0" w:rsidRDefault="008037D0" w:rsidP="00784720">
      <w:pPr>
        <w:pStyle w:val="ListParagraph"/>
        <w:numPr>
          <w:ilvl w:val="0"/>
          <w:numId w:val="6"/>
        </w:numPr>
        <w:jc w:val="both"/>
        <w:rPr>
          <w:rFonts w:ascii="Arial" w:hAnsi="Arial" w:cs="Arial"/>
        </w:rPr>
      </w:pPr>
      <w:r>
        <w:rPr>
          <w:rFonts w:ascii="Arial" w:hAnsi="Arial" w:cs="Arial"/>
        </w:rPr>
        <w:t>Taking any other actions that are appropriate in the circumstances</w:t>
      </w:r>
    </w:p>
    <w:p w14:paraId="6895B33E" w14:textId="77777777" w:rsidR="008037D0" w:rsidRDefault="008037D0" w:rsidP="008037D0">
      <w:pPr>
        <w:pStyle w:val="ListParagraph"/>
        <w:ind w:left="1080"/>
        <w:jc w:val="both"/>
        <w:rPr>
          <w:rFonts w:ascii="Arial" w:hAnsi="Arial" w:cs="Arial"/>
        </w:rPr>
      </w:pPr>
    </w:p>
    <w:p w14:paraId="403F14D9" w14:textId="61062C52" w:rsidR="008037D0" w:rsidRDefault="008037D0" w:rsidP="008037D0">
      <w:pPr>
        <w:pStyle w:val="ListParagraph"/>
        <w:numPr>
          <w:ilvl w:val="0"/>
          <w:numId w:val="5"/>
        </w:numPr>
        <w:jc w:val="both"/>
        <w:rPr>
          <w:rFonts w:ascii="Arial" w:hAnsi="Arial" w:cs="Arial"/>
        </w:rPr>
      </w:pPr>
      <w:r>
        <w:rPr>
          <w:rFonts w:ascii="Arial" w:hAnsi="Arial" w:cs="Arial"/>
        </w:rPr>
        <w:t>Where familiarity threats are expected to arise due to long term association with a client, the firm shall rotate the members of the audit engagement team, including the partner where possible. Where such rotation happens, it is also ensured that the person rotated off an engagement does not get reinstated on that engagement after a cooling period of 2 years</w:t>
      </w:r>
    </w:p>
    <w:p w14:paraId="233730CF" w14:textId="77777777" w:rsidR="008037D0" w:rsidRDefault="008037D0" w:rsidP="008037D0">
      <w:pPr>
        <w:pStyle w:val="ListParagraph"/>
        <w:jc w:val="both"/>
        <w:rPr>
          <w:rFonts w:ascii="Arial" w:hAnsi="Arial" w:cs="Arial"/>
        </w:rPr>
      </w:pPr>
    </w:p>
    <w:p w14:paraId="4580A8B8" w14:textId="5055ECFB" w:rsidR="009A2356" w:rsidRDefault="009A2356" w:rsidP="008037D0">
      <w:pPr>
        <w:pStyle w:val="ListParagraph"/>
        <w:numPr>
          <w:ilvl w:val="0"/>
          <w:numId w:val="5"/>
        </w:numPr>
        <w:jc w:val="both"/>
        <w:rPr>
          <w:rFonts w:ascii="Arial" w:hAnsi="Arial" w:cs="Arial"/>
        </w:rPr>
      </w:pPr>
      <w:r>
        <w:rPr>
          <w:rFonts w:ascii="Arial" w:hAnsi="Arial" w:cs="Arial"/>
        </w:rPr>
        <w:t>Where a non-assurance service is being provided to an entity which is to be audited, the respective engagement partner should consult with the Managing partner to evaluate the significance any independence threat which may arise from provision of such non-assurance service before the firm agrees to take up the audit engagement.</w:t>
      </w:r>
    </w:p>
    <w:p w14:paraId="73D577FA" w14:textId="77777777" w:rsidR="009A2356" w:rsidRPr="009A2356" w:rsidRDefault="009A2356" w:rsidP="009A2356">
      <w:pPr>
        <w:pStyle w:val="ListParagraph"/>
        <w:rPr>
          <w:rFonts w:ascii="Arial" w:hAnsi="Arial" w:cs="Arial"/>
        </w:rPr>
      </w:pPr>
    </w:p>
    <w:p w14:paraId="1018865B" w14:textId="5D4844C7" w:rsidR="009A2356" w:rsidRDefault="009A2356" w:rsidP="008037D0">
      <w:pPr>
        <w:pStyle w:val="ListParagraph"/>
        <w:numPr>
          <w:ilvl w:val="0"/>
          <w:numId w:val="5"/>
        </w:numPr>
        <w:jc w:val="both"/>
        <w:rPr>
          <w:rFonts w:ascii="Arial" w:hAnsi="Arial" w:cs="Arial"/>
        </w:rPr>
      </w:pPr>
      <w:r w:rsidRPr="009A2356">
        <w:rPr>
          <w:rFonts w:ascii="Arial" w:hAnsi="Arial" w:cs="Arial"/>
        </w:rPr>
        <w:t>Involving an additional partner or professional staff member to provide assurance on a discrete aspect of the assurance engagement.</w:t>
      </w:r>
    </w:p>
    <w:p w14:paraId="17E70CEE" w14:textId="77777777" w:rsidR="009A2356" w:rsidRPr="009A2356" w:rsidRDefault="009A2356" w:rsidP="009A2356">
      <w:pPr>
        <w:pStyle w:val="ListParagraph"/>
        <w:rPr>
          <w:rFonts w:ascii="Arial" w:hAnsi="Arial" w:cs="Arial"/>
        </w:rPr>
      </w:pPr>
    </w:p>
    <w:p w14:paraId="5F2330F7" w14:textId="0B712EAE" w:rsidR="008037D0" w:rsidRPr="008037D0" w:rsidRDefault="008037D0" w:rsidP="008037D0">
      <w:pPr>
        <w:pStyle w:val="ListParagraph"/>
        <w:numPr>
          <w:ilvl w:val="0"/>
          <w:numId w:val="5"/>
        </w:numPr>
        <w:jc w:val="both"/>
        <w:rPr>
          <w:rFonts w:ascii="Arial" w:hAnsi="Arial" w:cs="Arial"/>
        </w:rPr>
      </w:pPr>
      <w:r>
        <w:rPr>
          <w:rFonts w:ascii="Arial" w:hAnsi="Arial" w:cs="Arial"/>
        </w:rPr>
        <w:t xml:space="preserve">The managing partner is </w:t>
      </w:r>
      <w:r w:rsidRPr="008037D0">
        <w:rPr>
          <w:rFonts w:ascii="Arial" w:hAnsi="Arial" w:cs="Arial"/>
        </w:rPr>
        <w:t>ultimately responsible on the firm’s behalf and, therefore (after consultation with other partners), has the final decision on any independence threat resolution</w:t>
      </w:r>
      <w:r>
        <w:rPr>
          <w:rFonts w:ascii="Arial" w:hAnsi="Arial" w:cs="Arial"/>
        </w:rPr>
        <w:t xml:space="preserve"> including resignation from a specific engagement or client relationship</w:t>
      </w:r>
    </w:p>
    <w:sectPr w:rsidR="008037D0" w:rsidRPr="008037D0">
      <w:head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0D75736" w14:textId="77777777" w:rsidR="0079477B" w:rsidRDefault="0079477B" w:rsidP="0079477B">
      <w:pPr>
        <w:spacing w:after="0" w:line="240" w:lineRule="auto"/>
      </w:pPr>
      <w:r>
        <w:separator/>
      </w:r>
    </w:p>
  </w:endnote>
  <w:endnote w:type="continuationSeparator" w:id="0">
    <w:p w14:paraId="595B2851" w14:textId="77777777" w:rsidR="0079477B" w:rsidRDefault="0079477B" w:rsidP="0079477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45307B7" w14:textId="77777777" w:rsidR="0079477B" w:rsidRDefault="0079477B" w:rsidP="0079477B">
      <w:pPr>
        <w:spacing w:after="0" w:line="240" w:lineRule="auto"/>
      </w:pPr>
      <w:r>
        <w:separator/>
      </w:r>
    </w:p>
  </w:footnote>
  <w:footnote w:type="continuationSeparator" w:id="0">
    <w:p w14:paraId="2356D205" w14:textId="77777777" w:rsidR="0079477B" w:rsidRDefault="0079477B" w:rsidP="0079477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03FA50B" w14:textId="3408CCEA" w:rsidR="0079477B" w:rsidRPr="0079477B" w:rsidRDefault="0079477B" w:rsidP="004F0BD1">
    <w:pPr>
      <w:pStyle w:val="Header"/>
      <w:jc w:val="right"/>
      <w:rPr>
        <w:b/>
        <w:bCs/>
      </w:rPr>
    </w:pPr>
    <w:r w:rsidRPr="0079477B">
      <w:rPr>
        <w:b/>
        <w:bCs/>
      </w:rPr>
      <w:t>Rajasekharan and Mathew Chartered Accountants</w:t>
    </w:r>
  </w:p>
  <w:p w14:paraId="2656DEB0" w14:textId="77777777" w:rsidR="0079477B" w:rsidRPr="0079477B" w:rsidRDefault="0079477B">
    <w:pPr>
      <w:pStyle w:val="Header"/>
      <w:rPr>
        <w:b/>
        <w:bCs/>
      </w:rPr>
    </w:pPr>
  </w:p>
  <w:p w14:paraId="69033B16" w14:textId="3BFEA52B" w:rsidR="00206568" w:rsidRDefault="0079477B" w:rsidP="00206568">
    <w:pPr>
      <w:pStyle w:val="Header"/>
      <w:jc w:val="right"/>
      <w:rPr>
        <w:b/>
        <w:bCs/>
      </w:rPr>
    </w:pPr>
    <w:r w:rsidRPr="0079477B">
      <w:rPr>
        <w:b/>
        <w:bCs/>
      </w:rPr>
      <w:t>Independence policy for statutory audits</w:t>
    </w:r>
  </w:p>
  <w:p w14:paraId="016898C7" w14:textId="77777777" w:rsidR="00231580" w:rsidRDefault="0023158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3EF5E6F"/>
    <w:multiLevelType w:val="hybridMultilevel"/>
    <w:tmpl w:val="5A2A6198"/>
    <w:lvl w:ilvl="0" w:tplc="B694DAFA">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 w15:restartNumberingAfterBreak="0">
    <w:nsid w:val="2B977E52"/>
    <w:multiLevelType w:val="hybridMultilevel"/>
    <w:tmpl w:val="2EFAB6EC"/>
    <w:lvl w:ilvl="0" w:tplc="FC700034">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5A8298F"/>
    <w:multiLevelType w:val="hybridMultilevel"/>
    <w:tmpl w:val="93FC90C4"/>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4F2B6EAE"/>
    <w:multiLevelType w:val="hybridMultilevel"/>
    <w:tmpl w:val="D506D9D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6DF46D63"/>
    <w:multiLevelType w:val="hybridMultilevel"/>
    <w:tmpl w:val="8860705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79BE3671"/>
    <w:multiLevelType w:val="hybridMultilevel"/>
    <w:tmpl w:val="BA54D2EC"/>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233046986">
    <w:abstractNumId w:val="5"/>
  </w:num>
  <w:num w:numId="2" w16cid:durableId="1275213775">
    <w:abstractNumId w:val="2"/>
  </w:num>
  <w:num w:numId="3" w16cid:durableId="284965217">
    <w:abstractNumId w:val="4"/>
  </w:num>
  <w:num w:numId="4" w16cid:durableId="793059979">
    <w:abstractNumId w:val="3"/>
  </w:num>
  <w:num w:numId="5" w16cid:durableId="1170489301">
    <w:abstractNumId w:val="1"/>
  </w:num>
  <w:num w:numId="6" w16cid:durableId="3451787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0CA3"/>
    <w:rsid w:val="00206568"/>
    <w:rsid w:val="00231580"/>
    <w:rsid w:val="004205C0"/>
    <w:rsid w:val="004F0BD1"/>
    <w:rsid w:val="006E7C85"/>
    <w:rsid w:val="00716FEE"/>
    <w:rsid w:val="00784720"/>
    <w:rsid w:val="0079477B"/>
    <w:rsid w:val="008037D0"/>
    <w:rsid w:val="009537FE"/>
    <w:rsid w:val="009A2356"/>
    <w:rsid w:val="00A55758"/>
    <w:rsid w:val="00C30CA3"/>
    <w:rsid w:val="00CC4D31"/>
    <w:rsid w:val="00CE225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A12B70"/>
  <w15:chartTrackingRefBased/>
  <w15:docId w15:val="{C70CE71E-47D8-4E29-BB45-33D3B6D59E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30CA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30C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30CA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30CA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30CA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30CA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30CA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30CA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30CA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30CA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30CA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30CA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30CA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30CA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30CA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30CA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30CA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30CA3"/>
    <w:rPr>
      <w:rFonts w:eastAsiaTheme="majorEastAsia" w:cstheme="majorBidi"/>
      <w:color w:val="272727" w:themeColor="text1" w:themeTint="D8"/>
    </w:rPr>
  </w:style>
  <w:style w:type="paragraph" w:styleId="Title">
    <w:name w:val="Title"/>
    <w:basedOn w:val="Normal"/>
    <w:next w:val="Normal"/>
    <w:link w:val="TitleChar"/>
    <w:uiPriority w:val="10"/>
    <w:qFormat/>
    <w:rsid w:val="00C30C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30CA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30CA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30CA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30CA3"/>
    <w:pPr>
      <w:spacing w:before="160"/>
      <w:jc w:val="center"/>
    </w:pPr>
    <w:rPr>
      <w:i/>
      <w:iCs/>
      <w:color w:val="404040" w:themeColor="text1" w:themeTint="BF"/>
    </w:rPr>
  </w:style>
  <w:style w:type="character" w:customStyle="1" w:styleId="QuoteChar">
    <w:name w:val="Quote Char"/>
    <w:basedOn w:val="DefaultParagraphFont"/>
    <w:link w:val="Quote"/>
    <w:uiPriority w:val="29"/>
    <w:rsid w:val="00C30CA3"/>
    <w:rPr>
      <w:i/>
      <w:iCs/>
      <w:color w:val="404040" w:themeColor="text1" w:themeTint="BF"/>
    </w:rPr>
  </w:style>
  <w:style w:type="paragraph" w:styleId="ListParagraph">
    <w:name w:val="List Paragraph"/>
    <w:basedOn w:val="Normal"/>
    <w:uiPriority w:val="34"/>
    <w:qFormat/>
    <w:rsid w:val="00C30CA3"/>
    <w:pPr>
      <w:ind w:left="720"/>
      <w:contextualSpacing/>
    </w:pPr>
  </w:style>
  <w:style w:type="character" w:styleId="IntenseEmphasis">
    <w:name w:val="Intense Emphasis"/>
    <w:basedOn w:val="DefaultParagraphFont"/>
    <w:uiPriority w:val="21"/>
    <w:qFormat/>
    <w:rsid w:val="00C30CA3"/>
    <w:rPr>
      <w:i/>
      <w:iCs/>
      <w:color w:val="0F4761" w:themeColor="accent1" w:themeShade="BF"/>
    </w:rPr>
  </w:style>
  <w:style w:type="paragraph" w:styleId="IntenseQuote">
    <w:name w:val="Intense Quote"/>
    <w:basedOn w:val="Normal"/>
    <w:next w:val="Normal"/>
    <w:link w:val="IntenseQuoteChar"/>
    <w:uiPriority w:val="30"/>
    <w:qFormat/>
    <w:rsid w:val="00C30C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30CA3"/>
    <w:rPr>
      <w:i/>
      <w:iCs/>
      <w:color w:val="0F4761" w:themeColor="accent1" w:themeShade="BF"/>
    </w:rPr>
  </w:style>
  <w:style w:type="character" w:styleId="IntenseReference">
    <w:name w:val="Intense Reference"/>
    <w:basedOn w:val="DefaultParagraphFont"/>
    <w:uiPriority w:val="32"/>
    <w:qFormat/>
    <w:rsid w:val="00C30CA3"/>
    <w:rPr>
      <w:b/>
      <w:bCs/>
      <w:smallCaps/>
      <w:color w:val="0F4761" w:themeColor="accent1" w:themeShade="BF"/>
      <w:spacing w:val="5"/>
    </w:rPr>
  </w:style>
  <w:style w:type="paragraph" w:styleId="Header">
    <w:name w:val="header"/>
    <w:basedOn w:val="Normal"/>
    <w:link w:val="HeaderChar"/>
    <w:uiPriority w:val="99"/>
    <w:unhideWhenUsed/>
    <w:rsid w:val="0079477B"/>
    <w:pPr>
      <w:tabs>
        <w:tab w:val="center" w:pos="4513"/>
        <w:tab w:val="right" w:pos="9026"/>
      </w:tabs>
      <w:spacing w:after="0" w:line="240" w:lineRule="auto"/>
    </w:pPr>
  </w:style>
  <w:style w:type="character" w:customStyle="1" w:styleId="HeaderChar">
    <w:name w:val="Header Char"/>
    <w:basedOn w:val="DefaultParagraphFont"/>
    <w:link w:val="Header"/>
    <w:uiPriority w:val="99"/>
    <w:rsid w:val="0079477B"/>
  </w:style>
  <w:style w:type="paragraph" w:styleId="Footer">
    <w:name w:val="footer"/>
    <w:basedOn w:val="Normal"/>
    <w:link w:val="FooterChar"/>
    <w:uiPriority w:val="99"/>
    <w:unhideWhenUsed/>
    <w:rsid w:val="0079477B"/>
    <w:pPr>
      <w:tabs>
        <w:tab w:val="center" w:pos="4513"/>
        <w:tab w:val="right" w:pos="9026"/>
      </w:tabs>
      <w:spacing w:after="0" w:line="240" w:lineRule="auto"/>
    </w:pPr>
  </w:style>
  <w:style w:type="character" w:customStyle="1" w:styleId="FooterChar">
    <w:name w:val="Footer Char"/>
    <w:basedOn w:val="DefaultParagraphFont"/>
    <w:link w:val="Footer"/>
    <w:uiPriority w:val="99"/>
    <w:rsid w:val="0079477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146</TotalTime>
  <Pages>3</Pages>
  <Words>1300</Words>
  <Characters>7415</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Govind P</dc:creator>
  <cp:keywords/>
  <dc:description/>
  <cp:lastModifiedBy>Govind P</cp:lastModifiedBy>
  <cp:revision>4</cp:revision>
  <dcterms:created xsi:type="dcterms:W3CDTF">2024-07-30T07:26:00Z</dcterms:created>
  <dcterms:modified xsi:type="dcterms:W3CDTF">2024-07-30T10:05:00Z</dcterms:modified>
</cp:coreProperties>
</file>