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65" w:type="dxa"/>
        <w:tblInd w:w="-167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65"/>
      </w:tblGrid>
      <w:tr w:rsidR="00A455B2" w:rsidRPr="00577B86" w14:paraId="28B0B428" w14:textId="77777777" w:rsidTr="00A455B2">
        <w:trPr>
          <w:trHeight w:val="100"/>
        </w:trPr>
        <w:tc>
          <w:tcPr>
            <w:tcW w:w="11865" w:type="dxa"/>
          </w:tcPr>
          <w:p w14:paraId="3F0E7524" w14:textId="77777777" w:rsidR="00A455B2" w:rsidRPr="00577B86" w:rsidRDefault="00A455B2">
            <w:pPr>
              <w:rPr>
                <w:rFonts w:ascii="Arial" w:hAnsi="Arial" w:cs="Arial"/>
                <w:szCs w:val="22"/>
              </w:rPr>
            </w:pPr>
          </w:p>
        </w:tc>
      </w:tr>
    </w:tbl>
    <w:p w14:paraId="1DFC2059" w14:textId="77777777" w:rsidR="00A455B2" w:rsidRPr="00577B86" w:rsidRDefault="00A455B2">
      <w:pPr>
        <w:rPr>
          <w:rFonts w:ascii="Arial" w:hAnsi="Arial" w:cs="Arial"/>
          <w:szCs w:val="22"/>
        </w:rPr>
      </w:pPr>
      <w:r w:rsidRPr="00577B86">
        <w:rPr>
          <w:rFonts w:ascii="Arial" w:hAnsi="Arial" w:cs="Arial"/>
          <w:szCs w:val="22"/>
        </w:rPr>
        <w:tab/>
      </w:r>
      <w:r w:rsidRPr="00577B86">
        <w:rPr>
          <w:rFonts w:ascii="Arial" w:hAnsi="Arial" w:cs="Arial"/>
          <w:szCs w:val="22"/>
        </w:rPr>
        <w:tab/>
      </w:r>
    </w:p>
    <w:p w14:paraId="551AA6F1" w14:textId="37EC8EE7" w:rsidR="003A0D27" w:rsidRPr="006234DF" w:rsidRDefault="003F0659" w:rsidP="0086643E">
      <w:pPr>
        <w:pStyle w:val="BodyText"/>
        <w:tabs>
          <w:tab w:val="left" w:pos="8280"/>
        </w:tabs>
        <w:spacing w:before="240"/>
        <w:ind w:left="-851" w:right="0"/>
        <w:jc w:val="center"/>
        <w:rPr>
          <w:rFonts w:ascii="Arial" w:hAnsi="Arial" w:cs="Arial"/>
          <w:b/>
          <w:sz w:val="28"/>
          <w:szCs w:val="28"/>
        </w:rPr>
      </w:pPr>
      <w:r w:rsidRPr="006234DF">
        <w:rPr>
          <w:rFonts w:ascii="Arial" w:hAnsi="Arial" w:cs="Arial"/>
          <w:b/>
          <w:sz w:val="28"/>
          <w:szCs w:val="28"/>
        </w:rPr>
        <w:t xml:space="preserve">Whether the following </w:t>
      </w:r>
      <w:r w:rsidR="000F478F">
        <w:rPr>
          <w:rFonts w:ascii="Arial" w:hAnsi="Arial" w:cs="Arial"/>
          <w:b/>
          <w:sz w:val="28"/>
          <w:szCs w:val="28"/>
        </w:rPr>
        <w:t>c</w:t>
      </w:r>
      <w:r w:rsidRPr="006234DF">
        <w:rPr>
          <w:rFonts w:ascii="Arial" w:hAnsi="Arial" w:cs="Arial"/>
          <w:b/>
          <w:sz w:val="28"/>
          <w:szCs w:val="28"/>
        </w:rPr>
        <w:t xml:space="preserve">ircumstances exists that Indicate the </w:t>
      </w:r>
      <w:r w:rsidR="000F478F">
        <w:rPr>
          <w:rFonts w:ascii="Arial" w:hAnsi="Arial" w:cs="Arial"/>
          <w:b/>
          <w:sz w:val="28"/>
          <w:szCs w:val="28"/>
        </w:rPr>
        <w:t>p</w:t>
      </w:r>
      <w:r w:rsidR="00E20AE3" w:rsidRPr="006234DF">
        <w:rPr>
          <w:rFonts w:ascii="Arial" w:hAnsi="Arial" w:cs="Arial"/>
          <w:b/>
          <w:sz w:val="28"/>
          <w:szCs w:val="28"/>
        </w:rPr>
        <w:t>ossibility of</w:t>
      </w:r>
      <w:r w:rsidRPr="006234DF">
        <w:rPr>
          <w:rFonts w:ascii="Arial" w:hAnsi="Arial" w:cs="Arial"/>
          <w:b/>
          <w:sz w:val="28"/>
          <w:szCs w:val="28"/>
        </w:rPr>
        <w:t xml:space="preserve"> </w:t>
      </w:r>
      <w:r w:rsidR="000F478F">
        <w:rPr>
          <w:rFonts w:ascii="Arial" w:hAnsi="Arial" w:cs="Arial"/>
          <w:b/>
          <w:sz w:val="28"/>
          <w:szCs w:val="28"/>
        </w:rPr>
        <w:t>f</w:t>
      </w:r>
      <w:r w:rsidRPr="006234DF">
        <w:rPr>
          <w:rFonts w:ascii="Arial" w:hAnsi="Arial" w:cs="Arial"/>
          <w:b/>
          <w:sz w:val="28"/>
          <w:szCs w:val="28"/>
        </w:rPr>
        <w:t>raud</w:t>
      </w:r>
    </w:p>
    <w:p w14:paraId="26AAE3AB" w14:textId="77777777" w:rsidR="00DE114C" w:rsidRPr="00577B86" w:rsidRDefault="00DE114C" w:rsidP="00E50004">
      <w:pPr>
        <w:pStyle w:val="BodyText"/>
        <w:tabs>
          <w:tab w:val="left" w:pos="8280"/>
        </w:tabs>
        <w:spacing w:before="240"/>
        <w:ind w:right="0"/>
        <w:jc w:val="center"/>
        <w:rPr>
          <w:rFonts w:ascii="Arial" w:hAnsi="Arial" w:cs="Arial"/>
          <w:b/>
          <w:szCs w:val="22"/>
        </w:rPr>
      </w:pPr>
    </w:p>
    <w:tbl>
      <w:tblPr>
        <w:tblStyle w:val="TableGrid"/>
        <w:tblW w:w="9222" w:type="dxa"/>
        <w:tblInd w:w="-743" w:type="dxa"/>
        <w:tblLook w:val="04A0" w:firstRow="1" w:lastRow="0" w:firstColumn="1" w:lastColumn="0" w:noHBand="0" w:noVBand="1"/>
      </w:tblPr>
      <w:tblGrid>
        <w:gridCol w:w="6174"/>
        <w:gridCol w:w="1548"/>
        <w:gridCol w:w="1500"/>
      </w:tblGrid>
      <w:tr w:rsidR="0086643E" w:rsidRPr="0086643E" w14:paraId="18258480" w14:textId="7E2DCBF9" w:rsidTr="0086643E">
        <w:trPr>
          <w:trHeight w:hRule="exact" w:val="377"/>
        </w:trPr>
        <w:tc>
          <w:tcPr>
            <w:tcW w:w="6174" w:type="dxa"/>
            <w:vMerge w:val="restart"/>
            <w:shd w:val="clear" w:color="auto" w:fill="FBD4B4" w:themeFill="accent6" w:themeFillTint="66"/>
          </w:tcPr>
          <w:p w14:paraId="7EEF9A38" w14:textId="77777777" w:rsidR="0086643E" w:rsidRPr="0086643E" w:rsidRDefault="0086643E" w:rsidP="00DE11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556A0134" w14:textId="3593B766" w:rsidR="0086643E" w:rsidRPr="0086643E" w:rsidRDefault="0086643E" w:rsidP="00DE11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6643E">
              <w:rPr>
                <w:rFonts w:ascii="Arial" w:hAnsi="Arial" w:cs="Arial"/>
                <w:b/>
                <w:bCs/>
                <w:sz w:val="20"/>
              </w:rPr>
              <w:t>Particulars</w:t>
            </w:r>
          </w:p>
        </w:tc>
        <w:tc>
          <w:tcPr>
            <w:tcW w:w="3048" w:type="dxa"/>
            <w:gridSpan w:val="2"/>
            <w:shd w:val="clear" w:color="auto" w:fill="FBD4B4" w:themeFill="accent6" w:themeFillTint="66"/>
          </w:tcPr>
          <w:p w14:paraId="3DF71D12" w14:textId="2CF29874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664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Response</w:t>
            </w:r>
          </w:p>
        </w:tc>
      </w:tr>
      <w:tr w:rsidR="0086643E" w:rsidRPr="0086643E" w14:paraId="5E776184" w14:textId="77777777" w:rsidTr="0086643E">
        <w:trPr>
          <w:trHeight w:hRule="exact" w:val="722"/>
        </w:trPr>
        <w:tc>
          <w:tcPr>
            <w:tcW w:w="6174" w:type="dxa"/>
            <w:vMerge/>
            <w:shd w:val="clear" w:color="auto" w:fill="FBD4B4" w:themeFill="accent6" w:themeFillTint="66"/>
          </w:tcPr>
          <w:p w14:paraId="34A1C823" w14:textId="77777777" w:rsidR="0086643E" w:rsidRPr="0086643E" w:rsidRDefault="0086643E" w:rsidP="00DE11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548" w:type="dxa"/>
            <w:shd w:val="clear" w:color="auto" w:fill="FBD4B4" w:themeFill="accent6" w:themeFillTint="66"/>
          </w:tcPr>
          <w:p w14:paraId="3D87B8E9" w14:textId="02B03E61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664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Risk assessment stage</w:t>
            </w:r>
          </w:p>
        </w:tc>
        <w:tc>
          <w:tcPr>
            <w:tcW w:w="1500" w:type="dxa"/>
            <w:shd w:val="clear" w:color="auto" w:fill="FBD4B4" w:themeFill="accent6" w:themeFillTint="66"/>
          </w:tcPr>
          <w:p w14:paraId="1ACDA674" w14:textId="0C952721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Audit Finalisation stage</w:t>
            </w:r>
          </w:p>
        </w:tc>
      </w:tr>
      <w:tr w:rsidR="0086643E" w:rsidRPr="0086643E" w14:paraId="08D33CFE" w14:textId="4C232111" w:rsidTr="0086643E">
        <w:trPr>
          <w:trHeight w:hRule="exact" w:val="880"/>
        </w:trPr>
        <w:tc>
          <w:tcPr>
            <w:tcW w:w="6174" w:type="dxa"/>
          </w:tcPr>
          <w:p w14:paraId="7A8356D8" w14:textId="77777777" w:rsidR="0086643E" w:rsidRPr="0086643E" w:rsidRDefault="0086643E" w:rsidP="0086643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Transactions not recorded in a complete or timely manner or are Improperly recorded as to amount, accounting period, classification, or entity policy.</w:t>
            </w:r>
          </w:p>
        </w:tc>
        <w:tc>
          <w:tcPr>
            <w:tcW w:w="1548" w:type="dxa"/>
          </w:tcPr>
          <w:p w14:paraId="1BA7A0DF" w14:textId="77777777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643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500" w:type="dxa"/>
          </w:tcPr>
          <w:p w14:paraId="7AB867BB" w14:textId="1F27C415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643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86643E" w:rsidRPr="0086643E" w14:paraId="262FD7FD" w14:textId="0F7079FB" w:rsidTr="0086643E">
        <w:trPr>
          <w:trHeight w:hRule="exact" w:val="624"/>
        </w:trPr>
        <w:tc>
          <w:tcPr>
            <w:tcW w:w="6174" w:type="dxa"/>
          </w:tcPr>
          <w:p w14:paraId="2AD795AC" w14:textId="77777777" w:rsidR="0086643E" w:rsidRPr="0086643E" w:rsidRDefault="0086643E" w:rsidP="0086643E">
            <w:pPr>
              <w:pStyle w:val="BodyText"/>
              <w:tabs>
                <w:tab w:val="left" w:pos="8280"/>
              </w:tabs>
              <w:spacing w:before="0"/>
              <w:ind w:right="0"/>
              <w:rPr>
                <w:rFonts w:ascii="Arial" w:hAnsi="Arial" w:cs="Arial"/>
                <w:b/>
                <w:sz w:val="20"/>
                <w:szCs w:val="20"/>
              </w:rPr>
            </w:pPr>
            <w:r w:rsidRPr="0086643E">
              <w:rPr>
                <w:rFonts w:ascii="Arial" w:hAnsi="Arial" w:cs="Arial"/>
                <w:sz w:val="20"/>
                <w:szCs w:val="20"/>
                <w:lang w:val="en-IN" w:eastAsia="en-IN"/>
              </w:rPr>
              <w:t>Last-minute adjustments that significantly affect financial results</w:t>
            </w:r>
          </w:p>
        </w:tc>
        <w:tc>
          <w:tcPr>
            <w:tcW w:w="1548" w:type="dxa"/>
          </w:tcPr>
          <w:p w14:paraId="2B95A035" w14:textId="2B1C0C60" w:rsidR="0086643E" w:rsidRPr="0086643E" w:rsidRDefault="0086643E" w:rsidP="0086643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500" w:type="dxa"/>
          </w:tcPr>
          <w:p w14:paraId="69044E33" w14:textId="572F8ADE" w:rsidR="0086643E" w:rsidRPr="0086643E" w:rsidRDefault="0086643E" w:rsidP="0086643E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</w:tr>
      <w:tr w:rsidR="00077D67" w:rsidRPr="0086643E" w14:paraId="208BAF5E" w14:textId="6538E752" w:rsidTr="0086643E">
        <w:trPr>
          <w:trHeight w:hRule="exact" w:val="624"/>
        </w:trPr>
        <w:tc>
          <w:tcPr>
            <w:tcW w:w="6174" w:type="dxa"/>
          </w:tcPr>
          <w:p w14:paraId="147DCA5F" w14:textId="77777777" w:rsidR="00077D67" w:rsidRPr="0086643E" w:rsidRDefault="00077D67" w:rsidP="00077D67">
            <w:pPr>
              <w:pStyle w:val="BodyText"/>
              <w:tabs>
                <w:tab w:val="left" w:pos="8280"/>
              </w:tabs>
              <w:spacing w:before="0"/>
              <w:ind w:right="0"/>
              <w:rPr>
                <w:rFonts w:ascii="Arial" w:hAnsi="Arial" w:cs="Arial"/>
                <w:sz w:val="20"/>
                <w:szCs w:val="20"/>
                <w:lang w:val="en-IN" w:eastAsia="en-IN"/>
              </w:rPr>
            </w:pPr>
            <w:r w:rsidRPr="0086643E">
              <w:rPr>
                <w:rFonts w:ascii="Arial" w:hAnsi="Arial" w:cs="Arial"/>
                <w:sz w:val="20"/>
                <w:szCs w:val="20"/>
                <w:lang w:val="en-IN" w:eastAsia="en-IN"/>
              </w:rPr>
              <w:t>Unsupported or unauthorized balances or transactions</w:t>
            </w:r>
          </w:p>
        </w:tc>
        <w:tc>
          <w:tcPr>
            <w:tcW w:w="1548" w:type="dxa"/>
          </w:tcPr>
          <w:p w14:paraId="38C96099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530F2B1A" w14:textId="4E59BBC2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</w:tr>
      <w:tr w:rsidR="00077D67" w:rsidRPr="0086643E" w14:paraId="7F511633" w14:textId="07F55705" w:rsidTr="0086643E">
        <w:trPr>
          <w:trHeight w:hRule="exact" w:val="624"/>
        </w:trPr>
        <w:tc>
          <w:tcPr>
            <w:tcW w:w="6174" w:type="dxa"/>
          </w:tcPr>
          <w:p w14:paraId="29D35E33" w14:textId="77777777" w:rsidR="00077D67" w:rsidRPr="0086643E" w:rsidRDefault="00077D67" w:rsidP="00077D67">
            <w:pPr>
              <w:pStyle w:val="BodyText"/>
              <w:tabs>
                <w:tab w:val="left" w:pos="8280"/>
              </w:tabs>
              <w:spacing w:before="0"/>
              <w:ind w:right="0"/>
              <w:rPr>
                <w:rFonts w:ascii="Arial" w:hAnsi="Arial" w:cs="Arial"/>
                <w:sz w:val="20"/>
                <w:szCs w:val="20"/>
                <w:lang w:val="en-IN" w:eastAsia="en-IN"/>
              </w:rPr>
            </w:pPr>
            <w:r w:rsidRPr="0086643E">
              <w:rPr>
                <w:rFonts w:ascii="Arial" w:hAnsi="Arial" w:cs="Arial"/>
                <w:sz w:val="20"/>
                <w:szCs w:val="20"/>
                <w:lang w:val="en-IN" w:eastAsia="en-IN"/>
              </w:rPr>
              <w:t>Tips or complaints to the auditor about alleged fraud</w:t>
            </w:r>
          </w:p>
        </w:tc>
        <w:tc>
          <w:tcPr>
            <w:tcW w:w="1548" w:type="dxa"/>
          </w:tcPr>
          <w:p w14:paraId="2CD19515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6A1814BC" w14:textId="608AADED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</w:tr>
      <w:tr w:rsidR="00077D67" w:rsidRPr="0086643E" w14:paraId="53349209" w14:textId="38E059CC" w:rsidTr="0086643E">
        <w:trPr>
          <w:trHeight w:hRule="exact" w:val="624"/>
        </w:trPr>
        <w:tc>
          <w:tcPr>
            <w:tcW w:w="6174" w:type="dxa"/>
          </w:tcPr>
          <w:p w14:paraId="64CD9EFB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 xml:space="preserve">Evidence of employees’ access to systems and records inconsistent with </w:t>
            </w:r>
            <w:r w:rsidRPr="0086643E">
              <w:rPr>
                <w:rFonts w:ascii="Arial" w:hAnsi="Arial" w:cs="Arial"/>
                <w:sz w:val="20"/>
                <w:lang w:val="en-IN" w:eastAsia="en-IN"/>
              </w:rPr>
              <w:t>that necessary to perform their authorized duties</w:t>
            </w:r>
          </w:p>
        </w:tc>
        <w:tc>
          <w:tcPr>
            <w:tcW w:w="1548" w:type="dxa"/>
          </w:tcPr>
          <w:p w14:paraId="3F58F826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11E1B75C" w14:textId="4FA8F7DE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</w:tr>
      <w:tr w:rsidR="00077D67" w:rsidRPr="0086643E" w14:paraId="2BFEB62D" w14:textId="1B440C81" w:rsidTr="0086643E">
        <w:trPr>
          <w:trHeight w:hRule="exact" w:val="830"/>
        </w:trPr>
        <w:tc>
          <w:tcPr>
            <w:tcW w:w="6174" w:type="dxa"/>
          </w:tcPr>
          <w:p w14:paraId="22D34102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Unusual balance sheet changes, or changes in trends or important financial statement ratios or relationships, for example, receivables growing faster than revenues</w:t>
            </w:r>
          </w:p>
        </w:tc>
        <w:tc>
          <w:tcPr>
            <w:tcW w:w="1548" w:type="dxa"/>
          </w:tcPr>
          <w:p w14:paraId="1D71A61F" w14:textId="6B2EA301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 xml:space="preserve">No. Refer </w:t>
            </w:r>
            <w:hyperlink r:id="rId8" w:history="1">
              <w:r w:rsidRPr="0086643E">
                <w:rPr>
                  <w:rStyle w:val="Hyperlink"/>
                  <w:rFonts w:ascii="Arial" w:hAnsi="Arial" w:cs="Arial"/>
                  <w:sz w:val="20"/>
                </w:rPr>
                <w:t>Analytical procedures</w:t>
              </w:r>
            </w:hyperlink>
          </w:p>
        </w:tc>
        <w:tc>
          <w:tcPr>
            <w:tcW w:w="1500" w:type="dxa"/>
          </w:tcPr>
          <w:p w14:paraId="1CA080AA" w14:textId="2E612604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 xml:space="preserve">No. Refer </w:t>
            </w:r>
            <w:hyperlink r:id="rId9" w:history="1">
              <w:r w:rsidRPr="00077D67">
                <w:rPr>
                  <w:rStyle w:val="Hyperlink"/>
                  <w:rFonts w:ascii="Arial" w:hAnsi="Arial" w:cs="Arial"/>
                  <w:sz w:val="20"/>
                </w:rPr>
                <w:t>Variance Analysis</w:t>
              </w:r>
            </w:hyperlink>
          </w:p>
        </w:tc>
      </w:tr>
      <w:tr w:rsidR="00077D67" w:rsidRPr="0086643E" w14:paraId="1599AF10" w14:textId="5474BE64" w:rsidTr="0086643E">
        <w:trPr>
          <w:trHeight w:hRule="exact" w:val="624"/>
        </w:trPr>
        <w:tc>
          <w:tcPr>
            <w:tcW w:w="6174" w:type="dxa"/>
          </w:tcPr>
          <w:p w14:paraId="659F97B0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 xml:space="preserve">Inconsistent, vague, or implausible responses from management or </w:t>
            </w:r>
            <w:r w:rsidRPr="0086643E">
              <w:rPr>
                <w:rFonts w:ascii="Arial" w:hAnsi="Arial" w:cs="Arial"/>
                <w:sz w:val="20"/>
                <w:lang w:val="en-IN" w:eastAsia="en-IN"/>
              </w:rPr>
              <w:t>employees arising from inquiries or analytical procedures</w:t>
            </w:r>
          </w:p>
        </w:tc>
        <w:tc>
          <w:tcPr>
            <w:tcW w:w="1548" w:type="dxa"/>
          </w:tcPr>
          <w:p w14:paraId="368B35BF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1DB8EADB" w14:textId="07FDA709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260E8086" w14:textId="5A1695F2" w:rsidTr="0086643E">
        <w:trPr>
          <w:trHeight w:hRule="exact" w:val="596"/>
        </w:trPr>
        <w:tc>
          <w:tcPr>
            <w:tcW w:w="6174" w:type="dxa"/>
          </w:tcPr>
          <w:p w14:paraId="43DDC803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 xml:space="preserve">Unusual discrepancies between the entity's records and confirmation </w:t>
            </w:r>
            <w:r w:rsidRPr="0086643E">
              <w:rPr>
                <w:rFonts w:ascii="Arial" w:hAnsi="Arial" w:cs="Arial"/>
                <w:sz w:val="20"/>
                <w:lang w:val="en-IN" w:eastAsia="en-IN"/>
              </w:rPr>
              <w:t>replies</w:t>
            </w:r>
          </w:p>
        </w:tc>
        <w:tc>
          <w:tcPr>
            <w:tcW w:w="1548" w:type="dxa"/>
          </w:tcPr>
          <w:p w14:paraId="2E4EF4B5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2F833C35" w14:textId="14E417EB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043380E6" w14:textId="58A9882E" w:rsidTr="0086643E">
        <w:trPr>
          <w:trHeight w:hRule="exact" w:val="423"/>
        </w:trPr>
        <w:tc>
          <w:tcPr>
            <w:tcW w:w="6174" w:type="dxa"/>
          </w:tcPr>
          <w:p w14:paraId="15655412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Missing inventory or physical assets of significant magnitude</w:t>
            </w:r>
          </w:p>
        </w:tc>
        <w:tc>
          <w:tcPr>
            <w:tcW w:w="1548" w:type="dxa"/>
          </w:tcPr>
          <w:p w14:paraId="6B5703A3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7ADA3F20" w14:textId="0D763EA8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37D0B029" w14:textId="21B4967A" w:rsidTr="0086643E">
        <w:trPr>
          <w:trHeight w:hRule="exact" w:val="624"/>
        </w:trPr>
        <w:tc>
          <w:tcPr>
            <w:tcW w:w="6174" w:type="dxa"/>
          </w:tcPr>
          <w:p w14:paraId="46E4B49F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Unavailable or missing electronic evidence, inconsistent with the entity’s record retention practices or policies</w:t>
            </w:r>
          </w:p>
        </w:tc>
        <w:tc>
          <w:tcPr>
            <w:tcW w:w="1548" w:type="dxa"/>
          </w:tcPr>
          <w:p w14:paraId="4EF21306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27FD96DF" w14:textId="0C4E73EC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67399F6F" w14:textId="4691A69A" w:rsidTr="0086643E">
        <w:trPr>
          <w:trHeight w:hRule="exact" w:val="624"/>
        </w:trPr>
        <w:tc>
          <w:tcPr>
            <w:tcW w:w="6174" w:type="dxa"/>
          </w:tcPr>
          <w:p w14:paraId="5C02ECB6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Denial of access to records, facilities, certain employees, customers, vendors, or others from whom audit evidence might be sought</w:t>
            </w:r>
          </w:p>
        </w:tc>
        <w:tc>
          <w:tcPr>
            <w:tcW w:w="1548" w:type="dxa"/>
          </w:tcPr>
          <w:p w14:paraId="773FD775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5CB1479F" w14:textId="38C1E3C0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6CF0CE5B" w14:textId="18158B43" w:rsidTr="0086643E">
        <w:trPr>
          <w:trHeight w:hRule="exact" w:val="624"/>
        </w:trPr>
        <w:tc>
          <w:tcPr>
            <w:tcW w:w="6174" w:type="dxa"/>
          </w:tcPr>
          <w:p w14:paraId="28A64FF3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Undue time pressures imposed by management to resolve complex or contentious issues</w:t>
            </w:r>
          </w:p>
        </w:tc>
        <w:tc>
          <w:tcPr>
            <w:tcW w:w="1548" w:type="dxa"/>
          </w:tcPr>
          <w:p w14:paraId="0F55E2F7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0D8C3D6B" w14:textId="014B0D61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680F0A84" w14:textId="581CEE90" w:rsidTr="0086643E">
        <w:trPr>
          <w:trHeight w:hRule="exact" w:val="1369"/>
        </w:trPr>
        <w:tc>
          <w:tcPr>
            <w:tcW w:w="6174" w:type="dxa"/>
          </w:tcPr>
          <w:p w14:paraId="6D2974D6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Complaints by management about the conduct of the audit or management intimidation of engagement team members, particularly in connection with</w:t>
            </w:r>
          </w:p>
          <w:p w14:paraId="6A7438A4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the auditor’s critical assessment of audit evidence or in the resolution of</w:t>
            </w:r>
          </w:p>
          <w:p w14:paraId="07ADD202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potential disagreements with management</w:t>
            </w:r>
          </w:p>
        </w:tc>
        <w:tc>
          <w:tcPr>
            <w:tcW w:w="1548" w:type="dxa"/>
          </w:tcPr>
          <w:p w14:paraId="325E55D1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68F8E918" w14:textId="374CE06F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730C3558" w14:textId="3013354E" w:rsidTr="0086643E">
        <w:trPr>
          <w:trHeight w:hRule="exact" w:val="373"/>
        </w:trPr>
        <w:tc>
          <w:tcPr>
            <w:tcW w:w="6174" w:type="dxa"/>
          </w:tcPr>
          <w:p w14:paraId="241350C2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Unusual delays by the entity in providing requested information</w:t>
            </w:r>
          </w:p>
        </w:tc>
        <w:tc>
          <w:tcPr>
            <w:tcW w:w="1548" w:type="dxa"/>
          </w:tcPr>
          <w:p w14:paraId="140DDE0C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6BF0C747" w14:textId="1B4AE3E2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708CDBAE" w14:textId="0F19D5BF" w:rsidTr="0086643E">
        <w:trPr>
          <w:trHeight w:hRule="exact" w:val="624"/>
        </w:trPr>
        <w:tc>
          <w:tcPr>
            <w:tcW w:w="6174" w:type="dxa"/>
          </w:tcPr>
          <w:p w14:paraId="35E6DF57" w14:textId="01164A61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An unwillingness to add or revise disclosures in the financial statements to make them more complete and understandable</w:t>
            </w:r>
          </w:p>
        </w:tc>
        <w:tc>
          <w:tcPr>
            <w:tcW w:w="1548" w:type="dxa"/>
          </w:tcPr>
          <w:p w14:paraId="7512E29F" w14:textId="03E6B301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sz w:val="20"/>
              </w:rPr>
              <w:t>A</w:t>
            </w:r>
          </w:p>
        </w:tc>
        <w:tc>
          <w:tcPr>
            <w:tcW w:w="1500" w:type="dxa"/>
          </w:tcPr>
          <w:p w14:paraId="6D29CA0A" w14:textId="6E32FC58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39C66A69" w14:textId="7738D0AC" w:rsidTr="0086643E">
        <w:trPr>
          <w:trHeight w:hRule="exact" w:val="624"/>
        </w:trPr>
        <w:tc>
          <w:tcPr>
            <w:tcW w:w="6174" w:type="dxa"/>
          </w:tcPr>
          <w:p w14:paraId="0359B16F" w14:textId="0502D98D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lastRenderedPageBreak/>
              <w:t>An unwillingness to address identified deficiencies in internal control on a timely basis</w:t>
            </w:r>
          </w:p>
        </w:tc>
        <w:tc>
          <w:tcPr>
            <w:tcW w:w="1548" w:type="dxa"/>
          </w:tcPr>
          <w:p w14:paraId="22F8B1B6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59AA5E2E" w14:textId="446DD78D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55F91D7D" w14:textId="77EBE2C0" w:rsidTr="00077D67">
        <w:trPr>
          <w:trHeight w:hRule="exact" w:val="578"/>
        </w:trPr>
        <w:tc>
          <w:tcPr>
            <w:tcW w:w="6174" w:type="dxa"/>
          </w:tcPr>
          <w:p w14:paraId="0BED0914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Accounting policies that appear to be at variance with industry norms</w:t>
            </w:r>
          </w:p>
        </w:tc>
        <w:tc>
          <w:tcPr>
            <w:tcW w:w="1548" w:type="dxa"/>
          </w:tcPr>
          <w:p w14:paraId="1F81E9F5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2F66CA00" w14:textId="44F30550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1241C11F" w14:textId="15602B5C" w:rsidTr="0086643E">
        <w:trPr>
          <w:trHeight w:hRule="exact" w:val="624"/>
        </w:trPr>
        <w:tc>
          <w:tcPr>
            <w:tcW w:w="6174" w:type="dxa"/>
          </w:tcPr>
          <w:p w14:paraId="3803DD01" w14:textId="043625EE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Frequent changes in accounting estimates that do not appear to result from changed circumstances</w:t>
            </w:r>
          </w:p>
        </w:tc>
        <w:tc>
          <w:tcPr>
            <w:tcW w:w="1548" w:type="dxa"/>
          </w:tcPr>
          <w:p w14:paraId="074236EC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256C153B" w14:textId="5F45F5A5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375C24F9" w14:textId="3E7743BD" w:rsidTr="0086643E">
        <w:trPr>
          <w:trHeight w:hRule="exact" w:val="624"/>
        </w:trPr>
        <w:tc>
          <w:tcPr>
            <w:tcW w:w="6174" w:type="dxa"/>
          </w:tcPr>
          <w:p w14:paraId="64C8D824" w14:textId="098D5F95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Unwillingness by management to permit the auditor to meet privately with those charged with governance</w:t>
            </w:r>
          </w:p>
        </w:tc>
        <w:tc>
          <w:tcPr>
            <w:tcW w:w="1548" w:type="dxa"/>
          </w:tcPr>
          <w:p w14:paraId="0818B81F" w14:textId="6C38CF7B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006E7232" w14:textId="19ED9C5A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  <w:tr w:rsidR="00077D67" w:rsidRPr="0086643E" w14:paraId="7307A774" w14:textId="281F950C" w:rsidTr="0086643E">
        <w:trPr>
          <w:trHeight w:hRule="exact" w:val="437"/>
        </w:trPr>
        <w:tc>
          <w:tcPr>
            <w:tcW w:w="6174" w:type="dxa"/>
          </w:tcPr>
          <w:p w14:paraId="650348A2" w14:textId="77777777" w:rsidR="00077D67" w:rsidRPr="0086643E" w:rsidRDefault="00077D67" w:rsidP="00077D6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noProof w:val="0"/>
                <w:sz w:val="20"/>
                <w:lang w:val="en-IN" w:eastAsia="en-IN"/>
              </w:rPr>
            </w:pPr>
            <w:r w:rsidRPr="0086643E">
              <w:rPr>
                <w:rFonts w:ascii="Arial" w:hAnsi="Arial" w:cs="Arial"/>
                <w:noProof w:val="0"/>
                <w:sz w:val="20"/>
                <w:lang w:val="en-IN" w:eastAsia="en-IN"/>
              </w:rPr>
              <w:t>Any other circumstances – If Yes, Specify</w:t>
            </w:r>
          </w:p>
        </w:tc>
        <w:tc>
          <w:tcPr>
            <w:tcW w:w="1548" w:type="dxa"/>
          </w:tcPr>
          <w:p w14:paraId="4A06696F" w14:textId="77777777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 w:rsidRPr="0086643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500" w:type="dxa"/>
          </w:tcPr>
          <w:p w14:paraId="5EA5BFA1" w14:textId="4B93E144" w:rsidR="00077D67" w:rsidRPr="0086643E" w:rsidRDefault="00077D67" w:rsidP="00077D6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>
              <w:rPr>
                <w:sz w:val="20"/>
              </w:rPr>
              <w:t>o</w:t>
            </w:r>
          </w:p>
        </w:tc>
      </w:tr>
    </w:tbl>
    <w:p w14:paraId="07B00F12" w14:textId="77777777" w:rsidR="00FB4440" w:rsidRPr="0086643E" w:rsidRDefault="00FB4440" w:rsidP="00204D3D">
      <w:pPr>
        <w:pStyle w:val="BodyText"/>
        <w:spacing w:before="0"/>
        <w:ind w:left="-91" w:right="0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083ED7D2" w14:textId="77777777" w:rsidR="00204D3D" w:rsidRPr="0086643E" w:rsidRDefault="00204D3D" w:rsidP="00077D67">
      <w:pPr>
        <w:pStyle w:val="BodyText"/>
        <w:spacing w:before="0"/>
        <w:ind w:left="-851" w:right="0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86643E">
        <w:rPr>
          <w:rFonts w:ascii="Arial" w:hAnsi="Arial" w:cs="Arial"/>
          <w:b/>
          <w:sz w:val="20"/>
          <w:szCs w:val="20"/>
          <w:u w:val="single"/>
          <w:lang w:val="en-GB"/>
        </w:rPr>
        <w:t>Conclusion</w:t>
      </w:r>
    </w:p>
    <w:p w14:paraId="6DEA4231" w14:textId="77777777" w:rsidR="00BD1458" w:rsidRPr="0086643E" w:rsidRDefault="00BD1458" w:rsidP="00077D67">
      <w:pPr>
        <w:pStyle w:val="BodyText"/>
        <w:spacing w:before="0"/>
        <w:ind w:left="-851" w:right="0"/>
        <w:rPr>
          <w:rFonts w:ascii="Arial" w:hAnsi="Arial" w:cs="Arial"/>
          <w:bCs/>
          <w:sz w:val="20"/>
          <w:szCs w:val="20"/>
          <w:lang w:val="en-GB"/>
        </w:rPr>
      </w:pPr>
      <w:r w:rsidRPr="0086643E">
        <w:rPr>
          <w:rFonts w:ascii="Arial" w:hAnsi="Arial" w:cs="Arial"/>
          <w:sz w:val="20"/>
          <w:szCs w:val="20"/>
          <w:lang w:val="en-GB"/>
        </w:rPr>
        <w:t>Based on above outcomes, it is concluded that there are no</w:t>
      </w:r>
      <w:r w:rsidR="004E4E49" w:rsidRPr="0086643E">
        <w:rPr>
          <w:rFonts w:ascii="Arial" w:hAnsi="Arial" w:cs="Arial"/>
          <w:sz w:val="20"/>
          <w:szCs w:val="20"/>
          <w:lang w:val="en-GB"/>
        </w:rPr>
        <w:t xml:space="preserve"> </w:t>
      </w:r>
      <w:r w:rsidR="00F90B0E" w:rsidRPr="0086643E">
        <w:rPr>
          <w:rFonts w:ascii="Arial" w:hAnsi="Arial" w:cs="Arial"/>
          <w:sz w:val="20"/>
          <w:szCs w:val="20"/>
        </w:rPr>
        <w:t>circumstances exists that indicate the possibility of fraud</w:t>
      </w:r>
      <w:r w:rsidR="004E4E49" w:rsidRPr="0086643E">
        <w:rPr>
          <w:rFonts w:ascii="Arial" w:hAnsi="Arial" w:cs="Arial"/>
          <w:sz w:val="20"/>
          <w:szCs w:val="20"/>
        </w:rPr>
        <w:t>.</w:t>
      </w:r>
    </w:p>
    <w:sectPr w:rsidR="00BD1458" w:rsidRPr="0086643E" w:rsidSect="0086643E">
      <w:footerReference w:type="default" r:id="rId10"/>
      <w:headerReference w:type="first" r:id="rId11"/>
      <w:type w:val="continuous"/>
      <w:pgSz w:w="11906" w:h="16838" w:code="9"/>
      <w:pgMar w:top="1440" w:right="1800" w:bottom="1440" w:left="184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4FEB0" w14:textId="77777777" w:rsidR="00F55FBE" w:rsidRDefault="00F55FBE">
      <w:r>
        <w:separator/>
      </w:r>
    </w:p>
  </w:endnote>
  <w:endnote w:type="continuationSeparator" w:id="0">
    <w:p w14:paraId="60C4309B" w14:textId="77777777" w:rsidR="00F55FBE" w:rsidRDefault="00F55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18" w:type="dxa"/>
      <w:tblLayout w:type="fixed"/>
      <w:tblLook w:val="0000" w:firstRow="0" w:lastRow="0" w:firstColumn="0" w:lastColumn="0" w:noHBand="0" w:noVBand="0"/>
    </w:tblPr>
    <w:tblGrid>
      <w:gridCol w:w="4112"/>
      <w:gridCol w:w="992"/>
      <w:gridCol w:w="4111"/>
    </w:tblGrid>
    <w:tr w:rsidR="00453001" w14:paraId="00B3C3C9" w14:textId="77777777">
      <w:tc>
        <w:tcPr>
          <w:tcW w:w="4112" w:type="dxa"/>
        </w:tcPr>
        <w:p w14:paraId="74A3364D" w14:textId="77777777" w:rsidR="00453001" w:rsidRDefault="00453001">
          <w:pPr>
            <w:pStyle w:val="Smalltabletext"/>
          </w:pPr>
        </w:p>
      </w:tc>
      <w:tc>
        <w:tcPr>
          <w:tcW w:w="992" w:type="dxa"/>
        </w:tcPr>
        <w:p w14:paraId="34670DA7" w14:textId="77777777" w:rsidR="00453001" w:rsidRDefault="00453001">
          <w:pPr>
            <w:pStyle w:val="Tabletext"/>
            <w:jc w:val="center"/>
          </w:pPr>
          <w:r>
            <w:rPr>
              <w:snapToGrid w:val="0"/>
            </w:rPr>
            <w:t xml:space="preserve">Page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A50DBE">
            <w:rPr>
              <w:snapToGrid w:val="0"/>
            </w:rPr>
            <w:t>6</w:t>
          </w:r>
          <w:r>
            <w:rPr>
              <w:snapToGrid w:val="0"/>
            </w:rPr>
            <w:fldChar w:fldCharType="end"/>
          </w:r>
        </w:p>
      </w:tc>
      <w:tc>
        <w:tcPr>
          <w:tcW w:w="4111" w:type="dxa"/>
        </w:tcPr>
        <w:p w14:paraId="708385E0" w14:textId="77777777" w:rsidR="00453001" w:rsidRDefault="00453001">
          <w:pPr>
            <w:pStyle w:val="Smalltabletext"/>
          </w:pPr>
        </w:p>
      </w:tc>
    </w:tr>
  </w:tbl>
  <w:p w14:paraId="0B6AAE98" w14:textId="77777777" w:rsidR="00453001" w:rsidRDefault="004530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3E47" w14:textId="77777777" w:rsidR="00F55FBE" w:rsidRDefault="00F55FBE">
      <w:r>
        <w:separator/>
      </w:r>
    </w:p>
  </w:footnote>
  <w:footnote w:type="continuationSeparator" w:id="0">
    <w:p w14:paraId="2710432F" w14:textId="77777777" w:rsidR="00F55FBE" w:rsidRDefault="00F55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D6E21" w14:textId="77777777" w:rsidR="002C48E8" w:rsidRPr="00214CD7" w:rsidRDefault="002C48E8" w:rsidP="002C48E8">
    <w:pPr>
      <w:pStyle w:val="Header"/>
      <w:rPr>
        <w:rFonts w:ascii="Arial" w:hAnsi="Arial" w:cs="Arial"/>
        <w:b/>
        <w:color w:val="44546A"/>
        <w:szCs w:val="22"/>
      </w:rPr>
    </w:pPr>
    <w:r w:rsidRPr="00214CD7">
      <w:rPr>
        <w:rFonts w:ascii="Arial" w:hAnsi="Arial" w:cs="Arial"/>
        <w:b/>
        <w:color w:val="44546A"/>
        <w:szCs w:val="22"/>
      </w:rPr>
      <w:t>RAJASEKHARAN &amp; MATHEW, Chartered Accountants</w:t>
    </w:r>
  </w:p>
  <w:p w14:paraId="7096BC0E" w14:textId="77777777" w:rsidR="002C48E8" w:rsidRPr="00214CD7" w:rsidRDefault="002C48E8" w:rsidP="002C48E8">
    <w:pPr>
      <w:pStyle w:val="Header"/>
      <w:rPr>
        <w:rFonts w:ascii="Arial" w:hAnsi="Arial" w:cs="Arial"/>
        <w:b/>
        <w:color w:val="44546A"/>
        <w:szCs w:val="22"/>
      </w:rPr>
    </w:pPr>
  </w:p>
  <w:p w14:paraId="61B95DA5" w14:textId="77777777" w:rsidR="002C48E8" w:rsidRPr="00214CD7" w:rsidRDefault="002C48E8" w:rsidP="002C48E8">
    <w:pPr>
      <w:pStyle w:val="Header"/>
      <w:rPr>
        <w:rFonts w:ascii="Arial" w:hAnsi="Arial" w:cs="Arial"/>
        <w:b/>
        <w:color w:val="000000"/>
        <w:szCs w:val="22"/>
      </w:rPr>
    </w:pPr>
    <w:r w:rsidRPr="00214CD7">
      <w:rPr>
        <w:rFonts w:ascii="Arial" w:hAnsi="Arial" w:cs="Arial"/>
        <w:b/>
        <w:color w:val="000000"/>
        <w:szCs w:val="22"/>
      </w:rPr>
      <w:t>George Infra Pvt Ltd</w:t>
    </w:r>
  </w:p>
  <w:p w14:paraId="62532AA1" w14:textId="77D4925B" w:rsidR="00453001" w:rsidRPr="002C48E8" w:rsidRDefault="002C48E8">
    <w:pPr>
      <w:pStyle w:val="Header"/>
      <w:rPr>
        <w:rFonts w:ascii="Arial" w:hAnsi="Arial" w:cs="Arial"/>
        <w:b/>
        <w:color w:val="000000"/>
        <w:szCs w:val="22"/>
      </w:rPr>
    </w:pPr>
    <w:r w:rsidRPr="00214CD7">
      <w:rPr>
        <w:rFonts w:ascii="Arial" w:hAnsi="Arial" w:cs="Arial"/>
        <w:b/>
        <w:color w:val="000000"/>
        <w:szCs w:val="22"/>
      </w:rPr>
      <w:t>Financial Year: 202</w:t>
    </w:r>
    <w:r>
      <w:rPr>
        <w:rFonts w:ascii="Arial" w:hAnsi="Arial" w:cs="Arial"/>
        <w:b/>
        <w:color w:val="000000"/>
        <w:szCs w:val="22"/>
      </w:rPr>
      <w:t>4</w:t>
    </w:r>
    <w:r w:rsidRPr="00214CD7">
      <w:rPr>
        <w:rFonts w:ascii="Arial" w:hAnsi="Arial" w:cs="Arial"/>
        <w:b/>
        <w:color w:val="000000"/>
        <w:szCs w:val="22"/>
      </w:rPr>
      <w:t>-2</w:t>
    </w:r>
    <w:r>
      <w:rPr>
        <w:rFonts w:ascii="Arial" w:hAnsi="Arial" w:cs="Arial"/>
        <w:b/>
        <w:color w:val="000000"/>
        <w:szCs w:val="22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36E"/>
    <w:multiLevelType w:val="singleLevel"/>
    <w:tmpl w:val="AC7ED60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D2E2FE9"/>
    <w:multiLevelType w:val="singleLevel"/>
    <w:tmpl w:val="C554A55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246905D5"/>
    <w:multiLevelType w:val="singleLevel"/>
    <w:tmpl w:val="B1C2EE9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" w15:restartNumberingAfterBreak="0">
    <w:nsid w:val="253D4C09"/>
    <w:multiLevelType w:val="singleLevel"/>
    <w:tmpl w:val="CF02027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4" w15:restartNumberingAfterBreak="0">
    <w:nsid w:val="2D6A7173"/>
    <w:multiLevelType w:val="multilevel"/>
    <w:tmpl w:val="71789C0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 w15:restartNumberingAfterBreak="0">
    <w:nsid w:val="2ED72FC0"/>
    <w:multiLevelType w:val="hybridMultilevel"/>
    <w:tmpl w:val="3FCA9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A2DA8"/>
    <w:multiLevelType w:val="singleLevel"/>
    <w:tmpl w:val="870A0182"/>
    <w:lvl w:ilvl="0">
      <w:start w:val="1"/>
      <w:numFmt w:val="bullet"/>
      <w:pStyle w:val="Tabl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7" w15:restartNumberingAfterBreak="0">
    <w:nsid w:val="33D47CAB"/>
    <w:multiLevelType w:val="singleLevel"/>
    <w:tmpl w:val="5202AE0C"/>
    <w:lvl w:ilvl="0">
      <w:start w:val="1"/>
      <w:numFmt w:val="bullet"/>
      <w:pStyle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8" w15:restartNumberingAfterBreak="0">
    <w:nsid w:val="345B4B79"/>
    <w:multiLevelType w:val="singleLevel"/>
    <w:tmpl w:val="4058E54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9" w15:restartNumberingAfterBreak="0">
    <w:nsid w:val="39331C8F"/>
    <w:multiLevelType w:val="hybridMultilevel"/>
    <w:tmpl w:val="9482CB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AD37D3"/>
    <w:multiLevelType w:val="singleLevel"/>
    <w:tmpl w:val="05DC24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1" w15:restartNumberingAfterBreak="0">
    <w:nsid w:val="4F261E13"/>
    <w:multiLevelType w:val="hybridMultilevel"/>
    <w:tmpl w:val="343A15A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5EC658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  <w:lvl w:ilvl="2" w:tplc="0409001B">
      <w:start w:val="1"/>
      <w:numFmt w:val="lowerRoman"/>
      <w:lvlText w:val="%3."/>
      <w:lvlJc w:val="right"/>
      <w:pPr>
        <w:tabs>
          <w:tab w:val="num" w:pos="-720"/>
        </w:tabs>
        <w:ind w:left="-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0"/>
        </w:tabs>
        <w:ind w:left="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"/>
        </w:tabs>
        <w:ind w:left="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440"/>
        </w:tabs>
        <w:ind w:left="1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60"/>
        </w:tabs>
        <w:ind w:left="2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180"/>
      </w:pPr>
    </w:lvl>
  </w:abstractNum>
  <w:abstractNum w:abstractNumId="12" w15:restartNumberingAfterBreak="0">
    <w:nsid w:val="55625CD6"/>
    <w:multiLevelType w:val="hybridMultilevel"/>
    <w:tmpl w:val="B4524F08"/>
    <w:lvl w:ilvl="0" w:tplc="78F282C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C94F12"/>
    <w:multiLevelType w:val="hybridMultilevel"/>
    <w:tmpl w:val="9BE4E0A6"/>
    <w:lvl w:ilvl="0" w:tplc="20C0F20E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74444"/>
    <w:multiLevelType w:val="singleLevel"/>
    <w:tmpl w:val="6F3CD70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5" w15:restartNumberingAfterBreak="0">
    <w:nsid w:val="61E67A18"/>
    <w:multiLevelType w:val="hybridMultilevel"/>
    <w:tmpl w:val="9482CB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644795F"/>
    <w:multiLevelType w:val="singleLevel"/>
    <w:tmpl w:val="A39E60D0"/>
    <w:lvl w:ilvl="0">
      <w:start w:val="1"/>
      <w:numFmt w:val="bullet"/>
      <w:pStyle w:val="Guidance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</w:abstractNum>
  <w:abstractNum w:abstractNumId="17" w15:restartNumberingAfterBreak="0">
    <w:nsid w:val="677118B2"/>
    <w:multiLevelType w:val="singleLevel"/>
    <w:tmpl w:val="A1F83E3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 w15:restartNumberingAfterBreak="0">
    <w:nsid w:val="6A2A237A"/>
    <w:multiLevelType w:val="singleLevel"/>
    <w:tmpl w:val="7446414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9" w15:restartNumberingAfterBreak="0">
    <w:nsid w:val="73D579FB"/>
    <w:multiLevelType w:val="singleLevel"/>
    <w:tmpl w:val="D96EF808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0" w15:restartNumberingAfterBreak="0">
    <w:nsid w:val="7670008B"/>
    <w:multiLevelType w:val="hybridMultilevel"/>
    <w:tmpl w:val="2AA08DDE"/>
    <w:lvl w:ilvl="0" w:tplc="92D0D2DE">
      <w:start w:val="3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788713B4"/>
    <w:multiLevelType w:val="multilevel"/>
    <w:tmpl w:val="C7DCCDE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2" w15:restartNumberingAfterBreak="0">
    <w:nsid w:val="7BE67B8C"/>
    <w:multiLevelType w:val="hybridMultilevel"/>
    <w:tmpl w:val="B5502B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0E6E21E">
      <w:numFmt w:val="bullet"/>
      <w:lvlText w:val="-"/>
      <w:lvlJc w:val="left"/>
      <w:pPr>
        <w:ind w:left="2025" w:hanging="945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218298">
    <w:abstractNumId w:val="7"/>
  </w:num>
  <w:num w:numId="2" w16cid:durableId="2085299030">
    <w:abstractNumId w:val="16"/>
  </w:num>
  <w:num w:numId="3" w16cid:durableId="535889576">
    <w:abstractNumId w:val="6"/>
  </w:num>
  <w:num w:numId="4" w16cid:durableId="1623346415">
    <w:abstractNumId w:val="19"/>
  </w:num>
  <w:num w:numId="5" w16cid:durableId="1411272079">
    <w:abstractNumId w:val="4"/>
  </w:num>
  <w:num w:numId="6" w16cid:durableId="787553661">
    <w:abstractNumId w:val="12"/>
  </w:num>
  <w:num w:numId="7" w16cid:durableId="145514948">
    <w:abstractNumId w:val="17"/>
  </w:num>
  <w:num w:numId="8" w16cid:durableId="1708869230">
    <w:abstractNumId w:val="8"/>
  </w:num>
  <w:num w:numId="9" w16cid:durableId="1016035320">
    <w:abstractNumId w:val="18"/>
  </w:num>
  <w:num w:numId="10" w16cid:durableId="1094475847">
    <w:abstractNumId w:val="11"/>
  </w:num>
  <w:num w:numId="11" w16cid:durableId="896084227">
    <w:abstractNumId w:val="1"/>
  </w:num>
  <w:num w:numId="12" w16cid:durableId="303506113">
    <w:abstractNumId w:val="0"/>
  </w:num>
  <w:num w:numId="13" w16cid:durableId="50271314">
    <w:abstractNumId w:val="21"/>
  </w:num>
  <w:num w:numId="14" w16cid:durableId="560364213">
    <w:abstractNumId w:val="3"/>
  </w:num>
  <w:num w:numId="15" w16cid:durableId="1857694092">
    <w:abstractNumId w:val="10"/>
  </w:num>
  <w:num w:numId="16" w16cid:durableId="371537256">
    <w:abstractNumId w:val="2"/>
  </w:num>
  <w:num w:numId="17" w16cid:durableId="1486781289">
    <w:abstractNumId w:val="14"/>
  </w:num>
  <w:num w:numId="18" w16cid:durableId="1749763850">
    <w:abstractNumId w:val="15"/>
  </w:num>
  <w:num w:numId="19" w16cid:durableId="1915695890">
    <w:abstractNumId w:val="20"/>
  </w:num>
  <w:num w:numId="20" w16cid:durableId="724986104">
    <w:abstractNumId w:val="22"/>
  </w:num>
  <w:num w:numId="21" w16cid:durableId="1500004530">
    <w:abstractNumId w:val="5"/>
  </w:num>
  <w:num w:numId="22" w16cid:durableId="1935089532">
    <w:abstractNumId w:val="13"/>
  </w:num>
  <w:num w:numId="23" w16cid:durableId="65091414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GB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DC3"/>
    <w:rsid w:val="00033E88"/>
    <w:rsid w:val="00042305"/>
    <w:rsid w:val="00042C51"/>
    <w:rsid w:val="0005069A"/>
    <w:rsid w:val="00056735"/>
    <w:rsid w:val="00073AF2"/>
    <w:rsid w:val="00074E1E"/>
    <w:rsid w:val="000751C6"/>
    <w:rsid w:val="00077D67"/>
    <w:rsid w:val="00081D21"/>
    <w:rsid w:val="000B7F8E"/>
    <w:rsid w:val="000C3210"/>
    <w:rsid w:val="000C7991"/>
    <w:rsid w:val="000D6F46"/>
    <w:rsid w:val="000F478F"/>
    <w:rsid w:val="000F4B85"/>
    <w:rsid w:val="000F525C"/>
    <w:rsid w:val="000F6174"/>
    <w:rsid w:val="00100F8A"/>
    <w:rsid w:val="001726E0"/>
    <w:rsid w:val="00181C98"/>
    <w:rsid w:val="00196A65"/>
    <w:rsid w:val="001A31BB"/>
    <w:rsid w:val="001B4010"/>
    <w:rsid w:val="001D7C50"/>
    <w:rsid w:val="001E0361"/>
    <w:rsid w:val="00204D3D"/>
    <w:rsid w:val="00205A7E"/>
    <w:rsid w:val="00214CD7"/>
    <w:rsid w:val="0024598C"/>
    <w:rsid w:val="0025101E"/>
    <w:rsid w:val="0025519C"/>
    <w:rsid w:val="00262C2D"/>
    <w:rsid w:val="0026530E"/>
    <w:rsid w:val="00291439"/>
    <w:rsid w:val="002A1FCF"/>
    <w:rsid w:val="002C168C"/>
    <w:rsid w:val="002C1DDB"/>
    <w:rsid w:val="002C48E8"/>
    <w:rsid w:val="002E4506"/>
    <w:rsid w:val="002F69DA"/>
    <w:rsid w:val="0030000A"/>
    <w:rsid w:val="0030121D"/>
    <w:rsid w:val="0031022F"/>
    <w:rsid w:val="003138DB"/>
    <w:rsid w:val="003310D3"/>
    <w:rsid w:val="00365CF4"/>
    <w:rsid w:val="003667CB"/>
    <w:rsid w:val="00397BCE"/>
    <w:rsid w:val="003A0D27"/>
    <w:rsid w:val="003B0BC3"/>
    <w:rsid w:val="003B1A67"/>
    <w:rsid w:val="003B2B11"/>
    <w:rsid w:val="003B3B01"/>
    <w:rsid w:val="003C79BB"/>
    <w:rsid w:val="003E1DC3"/>
    <w:rsid w:val="003F0659"/>
    <w:rsid w:val="003F3455"/>
    <w:rsid w:val="003F3941"/>
    <w:rsid w:val="003F7550"/>
    <w:rsid w:val="00405612"/>
    <w:rsid w:val="00423726"/>
    <w:rsid w:val="00443616"/>
    <w:rsid w:val="00452858"/>
    <w:rsid w:val="00453001"/>
    <w:rsid w:val="004742DB"/>
    <w:rsid w:val="004802DF"/>
    <w:rsid w:val="00484AD5"/>
    <w:rsid w:val="004874BA"/>
    <w:rsid w:val="00497BEC"/>
    <w:rsid w:val="004A24FB"/>
    <w:rsid w:val="004A7BAD"/>
    <w:rsid w:val="004B04F0"/>
    <w:rsid w:val="004B7DE6"/>
    <w:rsid w:val="004C38D8"/>
    <w:rsid w:val="004D4503"/>
    <w:rsid w:val="004E4E49"/>
    <w:rsid w:val="004E7980"/>
    <w:rsid w:val="004F5558"/>
    <w:rsid w:val="0051093E"/>
    <w:rsid w:val="0051632F"/>
    <w:rsid w:val="005256AC"/>
    <w:rsid w:val="00537983"/>
    <w:rsid w:val="00560A4D"/>
    <w:rsid w:val="00577B86"/>
    <w:rsid w:val="00582673"/>
    <w:rsid w:val="00582A51"/>
    <w:rsid w:val="00584273"/>
    <w:rsid w:val="00586F7F"/>
    <w:rsid w:val="00594828"/>
    <w:rsid w:val="005A5C3D"/>
    <w:rsid w:val="005A7367"/>
    <w:rsid w:val="005B114D"/>
    <w:rsid w:val="005C75C0"/>
    <w:rsid w:val="005D3CF3"/>
    <w:rsid w:val="005E4FF1"/>
    <w:rsid w:val="006234DF"/>
    <w:rsid w:val="006252A4"/>
    <w:rsid w:val="00632925"/>
    <w:rsid w:val="00640B9C"/>
    <w:rsid w:val="00643760"/>
    <w:rsid w:val="00672726"/>
    <w:rsid w:val="0067729B"/>
    <w:rsid w:val="00682695"/>
    <w:rsid w:val="00685680"/>
    <w:rsid w:val="006906DD"/>
    <w:rsid w:val="00694409"/>
    <w:rsid w:val="006A7C85"/>
    <w:rsid w:val="006D1A14"/>
    <w:rsid w:val="0070630B"/>
    <w:rsid w:val="007264D7"/>
    <w:rsid w:val="00730AF1"/>
    <w:rsid w:val="007427E6"/>
    <w:rsid w:val="00747FA1"/>
    <w:rsid w:val="00750CCD"/>
    <w:rsid w:val="007531E6"/>
    <w:rsid w:val="00780088"/>
    <w:rsid w:val="00790A53"/>
    <w:rsid w:val="00795808"/>
    <w:rsid w:val="007B00AF"/>
    <w:rsid w:val="007B5063"/>
    <w:rsid w:val="007D55F5"/>
    <w:rsid w:val="007D72CF"/>
    <w:rsid w:val="007E68EF"/>
    <w:rsid w:val="007F47E4"/>
    <w:rsid w:val="007F6E1A"/>
    <w:rsid w:val="00816325"/>
    <w:rsid w:val="00837945"/>
    <w:rsid w:val="00837EEB"/>
    <w:rsid w:val="00844B47"/>
    <w:rsid w:val="0086110F"/>
    <w:rsid w:val="0086327D"/>
    <w:rsid w:val="0086643E"/>
    <w:rsid w:val="00876EBC"/>
    <w:rsid w:val="008A0032"/>
    <w:rsid w:val="008A2466"/>
    <w:rsid w:val="008E656A"/>
    <w:rsid w:val="00955917"/>
    <w:rsid w:val="009659CB"/>
    <w:rsid w:val="009A20F5"/>
    <w:rsid w:val="009D1B79"/>
    <w:rsid w:val="009D44AC"/>
    <w:rsid w:val="009D4DE7"/>
    <w:rsid w:val="00A159B7"/>
    <w:rsid w:val="00A16944"/>
    <w:rsid w:val="00A34618"/>
    <w:rsid w:val="00A455B2"/>
    <w:rsid w:val="00A50DBE"/>
    <w:rsid w:val="00A65817"/>
    <w:rsid w:val="00A67D32"/>
    <w:rsid w:val="00A91750"/>
    <w:rsid w:val="00AB260C"/>
    <w:rsid w:val="00AB3732"/>
    <w:rsid w:val="00AE78EE"/>
    <w:rsid w:val="00AF0A9F"/>
    <w:rsid w:val="00B2552E"/>
    <w:rsid w:val="00B32DEA"/>
    <w:rsid w:val="00B401B9"/>
    <w:rsid w:val="00B65835"/>
    <w:rsid w:val="00B668F0"/>
    <w:rsid w:val="00B72936"/>
    <w:rsid w:val="00B72F02"/>
    <w:rsid w:val="00B9151B"/>
    <w:rsid w:val="00BA3B76"/>
    <w:rsid w:val="00BA538C"/>
    <w:rsid w:val="00BD03B2"/>
    <w:rsid w:val="00BD1458"/>
    <w:rsid w:val="00BF511F"/>
    <w:rsid w:val="00C31B42"/>
    <w:rsid w:val="00C40516"/>
    <w:rsid w:val="00C41924"/>
    <w:rsid w:val="00C44A24"/>
    <w:rsid w:val="00C502FE"/>
    <w:rsid w:val="00C609B8"/>
    <w:rsid w:val="00C715B9"/>
    <w:rsid w:val="00C745DD"/>
    <w:rsid w:val="00CA1283"/>
    <w:rsid w:val="00CB3FDF"/>
    <w:rsid w:val="00CB762C"/>
    <w:rsid w:val="00CF7459"/>
    <w:rsid w:val="00D330C5"/>
    <w:rsid w:val="00D81E68"/>
    <w:rsid w:val="00D85DD3"/>
    <w:rsid w:val="00D96E45"/>
    <w:rsid w:val="00D97E3E"/>
    <w:rsid w:val="00DA7FF9"/>
    <w:rsid w:val="00DC0058"/>
    <w:rsid w:val="00DE114C"/>
    <w:rsid w:val="00DF1321"/>
    <w:rsid w:val="00DF67C5"/>
    <w:rsid w:val="00E01D68"/>
    <w:rsid w:val="00E02D92"/>
    <w:rsid w:val="00E20AE3"/>
    <w:rsid w:val="00E50004"/>
    <w:rsid w:val="00E560A0"/>
    <w:rsid w:val="00E72B9D"/>
    <w:rsid w:val="00E73AA0"/>
    <w:rsid w:val="00EA322D"/>
    <w:rsid w:val="00EB2E59"/>
    <w:rsid w:val="00EB7381"/>
    <w:rsid w:val="00EE5FC7"/>
    <w:rsid w:val="00EE70DB"/>
    <w:rsid w:val="00EF5DF4"/>
    <w:rsid w:val="00F03747"/>
    <w:rsid w:val="00F23C04"/>
    <w:rsid w:val="00F27755"/>
    <w:rsid w:val="00F55F21"/>
    <w:rsid w:val="00F55FBE"/>
    <w:rsid w:val="00F6791C"/>
    <w:rsid w:val="00F90B0E"/>
    <w:rsid w:val="00F9123D"/>
    <w:rsid w:val="00FA4A6B"/>
    <w:rsid w:val="00FB4440"/>
    <w:rsid w:val="00FC1DB6"/>
    <w:rsid w:val="00FD1D3E"/>
    <w:rsid w:val="00FF58C2"/>
    <w:rsid w:val="00FF5D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DADCB"/>
  <w15:docId w15:val="{22453804-903B-47F8-BC62-1927F7CF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3C04"/>
    <w:rPr>
      <w:noProof/>
      <w:sz w:val="22"/>
      <w:lang w:val="en-US" w:eastAsia="en-US"/>
    </w:rPr>
  </w:style>
  <w:style w:type="paragraph" w:styleId="Heading1">
    <w:name w:val="heading 1"/>
    <w:basedOn w:val="Text"/>
    <w:next w:val="Heading2"/>
    <w:qFormat/>
    <w:rsid w:val="00F23C04"/>
    <w:pPr>
      <w:keepNext/>
      <w:pageBreakBefore/>
      <w:spacing w:before="120"/>
      <w:outlineLvl w:val="0"/>
    </w:pPr>
    <w:rPr>
      <w:b/>
      <w:sz w:val="28"/>
    </w:rPr>
  </w:style>
  <w:style w:type="paragraph" w:styleId="Heading2">
    <w:name w:val="heading 2"/>
    <w:basedOn w:val="Text"/>
    <w:next w:val="Heading3"/>
    <w:qFormat/>
    <w:rsid w:val="00F23C04"/>
    <w:pPr>
      <w:keepNext/>
      <w:spacing w:before="300"/>
      <w:outlineLvl w:val="1"/>
    </w:pPr>
    <w:rPr>
      <w:b/>
      <w:sz w:val="24"/>
    </w:rPr>
  </w:style>
  <w:style w:type="paragraph" w:styleId="Heading3">
    <w:name w:val="heading 3"/>
    <w:basedOn w:val="Text"/>
    <w:next w:val="Text"/>
    <w:qFormat/>
    <w:rsid w:val="00F23C04"/>
    <w:pPr>
      <w:keepNext/>
      <w:outlineLvl w:val="2"/>
    </w:pPr>
    <w:rPr>
      <w:b/>
      <w:i/>
    </w:rPr>
  </w:style>
  <w:style w:type="paragraph" w:styleId="Heading4">
    <w:name w:val="heading 4"/>
    <w:basedOn w:val="Text"/>
    <w:next w:val="Text"/>
    <w:qFormat/>
    <w:rsid w:val="00F23C04"/>
    <w:pPr>
      <w:keepNext/>
      <w:outlineLvl w:val="3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rsid w:val="00F23C04"/>
    <w:pPr>
      <w:spacing w:before="240" w:line="260" w:lineRule="atLeast"/>
    </w:pPr>
    <w:rPr>
      <w:noProof/>
      <w:sz w:val="22"/>
      <w:lang w:val="en-US" w:eastAsia="en-US"/>
    </w:rPr>
  </w:style>
  <w:style w:type="paragraph" w:customStyle="1" w:styleId="Bullet">
    <w:name w:val="Bullet"/>
    <w:basedOn w:val="Text"/>
    <w:rsid w:val="00F23C04"/>
    <w:pPr>
      <w:numPr>
        <w:numId w:val="1"/>
      </w:numPr>
      <w:spacing w:before="120" w:after="60"/>
    </w:pPr>
  </w:style>
  <w:style w:type="paragraph" w:customStyle="1" w:styleId="Tabletext">
    <w:name w:val="Table text"/>
    <w:basedOn w:val="Text"/>
    <w:rsid w:val="00F23C04"/>
    <w:pPr>
      <w:spacing w:before="120" w:after="120"/>
    </w:pPr>
  </w:style>
  <w:style w:type="paragraph" w:customStyle="1" w:styleId="Client">
    <w:name w:val="Client"/>
    <w:basedOn w:val="Tabletext"/>
    <w:rsid w:val="00F23C04"/>
    <w:pPr>
      <w:spacing w:before="60" w:after="60"/>
    </w:pPr>
  </w:style>
  <w:style w:type="paragraph" w:customStyle="1" w:styleId="Datecreated">
    <w:name w:val="Date created"/>
    <w:basedOn w:val="Tabletext"/>
    <w:rsid w:val="00F23C04"/>
    <w:pPr>
      <w:spacing w:before="60" w:after="60"/>
    </w:pPr>
  </w:style>
  <w:style w:type="paragraph" w:styleId="DocumentMap">
    <w:name w:val="Document Map"/>
    <w:basedOn w:val="Normal"/>
    <w:semiHidden/>
    <w:rsid w:val="00F23C04"/>
    <w:pPr>
      <w:shd w:val="clear" w:color="auto" w:fill="000080"/>
    </w:pPr>
    <w:rPr>
      <w:rFonts w:ascii="Tahoma" w:hAnsi="Tahoma"/>
    </w:rPr>
  </w:style>
  <w:style w:type="paragraph" w:customStyle="1" w:styleId="Documentname">
    <w:name w:val="Document name"/>
    <w:next w:val="Normal"/>
    <w:rsid w:val="00F23C04"/>
    <w:pPr>
      <w:widowControl w:val="0"/>
      <w:spacing w:before="120"/>
      <w:jc w:val="right"/>
    </w:pPr>
    <w:rPr>
      <w:rFonts w:ascii="Arial" w:hAnsi="Arial"/>
      <w:noProof/>
      <w:sz w:val="24"/>
      <w:lang w:val="en-US" w:eastAsia="en-US"/>
    </w:rPr>
  </w:style>
  <w:style w:type="character" w:customStyle="1" w:styleId="Examplelink">
    <w:name w:val="Example link"/>
    <w:basedOn w:val="DefaultParagraphFont"/>
    <w:rsid w:val="00F23C04"/>
    <w:rPr>
      <w:color w:val="008000"/>
      <w:u w:val="double"/>
    </w:rPr>
  </w:style>
  <w:style w:type="paragraph" w:styleId="Footer">
    <w:name w:val="footer"/>
    <w:basedOn w:val="Normal"/>
    <w:rsid w:val="00F23C04"/>
    <w:pPr>
      <w:tabs>
        <w:tab w:val="center" w:pos="4153"/>
        <w:tab w:val="right" w:pos="8306"/>
      </w:tabs>
    </w:pPr>
  </w:style>
  <w:style w:type="paragraph" w:customStyle="1" w:styleId="Guidancetext">
    <w:name w:val="Guidance text"/>
    <w:basedOn w:val="Text"/>
    <w:rsid w:val="00F23C04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pct12" w:color="auto" w:fill="auto"/>
    </w:pPr>
    <w:rPr>
      <w:vanish/>
    </w:rPr>
  </w:style>
  <w:style w:type="paragraph" w:customStyle="1" w:styleId="Guidancebullet">
    <w:name w:val="Guidance bullet"/>
    <w:basedOn w:val="Guidancetext"/>
    <w:rsid w:val="00F23C04"/>
    <w:pPr>
      <w:numPr>
        <w:numId w:val="2"/>
      </w:numPr>
      <w:spacing w:before="120" w:after="60"/>
      <w:ind w:left="357" w:hanging="357"/>
    </w:pPr>
  </w:style>
  <w:style w:type="paragraph" w:styleId="Header">
    <w:name w:val="header"/>
    <w:basedOn w:val="Normal"/>
    <w:link w:val="HeaderChar"/>
    <w:uiPriority w:val="99"/>
    <w:rsid w:val="00F23C04"/>
    <w:pPr>
      <w:tabs>
        <w:tab w:val="center" w:pos="4153"/>
        <w:tab w:val="right" w:pos="8306"/>
      </w:tabs>
    </w:pPr>
  </w:style>
  <w:style w:type="character" w:customStyle="1" w:styleId="Hypertext">
    <w:name w:val="Hypertext"/>
    <w:basedOn w:val="DefaultParagraphFont"/>
    <w:rsid w:val="00F23C04"/>
    <w:rPr>
      <w:color w:val="0000FF"/>
      <w:u w:val="single"/>
    </w:rPr>
  </w:style>
  <w:style w:type="character" w:customStyle="1" w:styleId="KAMreference">
    <w:name w:val="KAM reference"/>
    <w:basedOn w:val="DefaultParagraphFont"/>
    <w:rsid w:val="00F23C04"/>
    <w:rPr>
      <w:color w:val="FF0000"/>
      <w:u w:val="double"/>
    </w:rPr>
  </w:style>
  <w:style w:type="paragraph" w:customStyle="1" w:styleId="KPMGLargelogo">
    <w:name w:val="KPMG Large logo"/>
    <w:rsid w:val="00F23C04"/>
    <w:pPr>
      <w:jc w:val="both"/>
    </w:pPr>
    <w:rPr>
      <w:rFonts w:ascii="KPMG Logo" w:hAnsi="KPMG Logo"/>
      <w:noProof/>
      <w:sz w:val="44"/>
      <w:lang w:val="en-US" w:eastAsia="en-US"/>
    </w:rPr>
  </w:style>
  <w:style w:type="paragraph" w:customStyle="1" w:styleId="KPMGSmalllogo">
    <w:name w:val="KPMG Small logo"/>
    <w:rsid w:val="00F23C04"/>
    <w:pPr>
      <w:spacing w:after="360"/>
      <w:jc w:val="both"/>
    </w:pPr>
    <w:rPr>
      <w:rFonts w:ascii="KPMG Logo" w:hAnsi="KPMG Logo"/>
      <w:noProof/>
      <w:lang w:val="en-US" w:eastAsia="en-US"/>
    </w:rPr>
  </w:style>
  <w:style w:type="character" w:customStyle="1" w:styleId="Link">
    <w:name w:val="Link"/>
    <w:basedOn w:val="DefaultParagraphFont"/>
    <w:rsid w:val="00F23C04"/>
    <w:rPr>
      <w:color w:val="auto"/>
      <w:u w:val="double"/>
    </w:rPr>
  </w:style>
  <w:style w:type="paragraph" w:customStyle="1" w:styleId="Periodend">
    <w:name w:val="Period end"/>
    <w:basedOn w:val="Tabletext"/>
    <w:rsid w:val="00F23C04"/>
    <w:pPr>
      <w:spacing w:before="60" w:after="60"/>
    </w:pPr>
  </w:style>
  <w:style w:type="paragraph" w:customStyle="1" w:styleId="Preparedby">
    <w:name w:val="Prepared by"/>
    <w:basedOn w:val="Tabletext"/>
    <w:rsid w:val="00F23C04"/>
    <w:pPr>
      <w:spacing w:before="60" w:after="60"/>
    </w:pPr>
    <w:rPr>
      <w:snapToGrid w:val="0"/>
    </w:rPr>
  </w:style>
  <w:style w:type="paragraph" w:customStyle="1" w:styleId="Smalltableheading">
    <w:name w:val="Small table heading"/>
    <w:next w:val="Tabletext"/>
    <w:rsid w:val="00F23C04"/>
    <w:pPr>
      <w:keepNext/>
      <w:spacing w:before="60"/>
    </w:pPr>
    <w:rPr>
      <w:b/>
      <w:noProof/>
      <w:sz w:val="18"/>
      <w:lang w:val="en-US" w:eastAsia="en-US"/>
    </w:rPr>
  </w:style>
  <w:style w:type="paragraph" w:customStyle="1" w:styleId="Smalltabletext">
    <w:name w:val="Small table text"/>
    <w:basedOn w:val="Tabletext"/>
    <w:rsid w:val="00F23C04"/>
    <w:pPr>
      <w:spacing w:before="60" w:after="60"/>
    </w:pPr>
    <w:rPr>
      <w:snapToGrid w:val="0"/>
      <w:sz w:val="18"/>
    </w:rPr>
  </w:style>
  <w:style w:type="paragraph" w:customStyle="1" w:styleId="Tablebullet">
    <w:name w:val="Table bullet"/>
    <w:basedOn w:val="Tabletext"/>
    <w:rsid w:val="00F23C04"/>
    <w:pPr>
      <w:numPr>
        <w:numId w:val="3"/>
      </w:numPr>
      <w:spacing w:before="60"/>
    </w:pPr>
  </w:style>
  <w:style w:type="paragraph" w:customStyle="1" w:styleId="Tableheading">
    <w:name w:val="Table heading"/>
    <w:basedOn w:val="Tabletext"/>
    <w:next w:val="Tabletext"/>
    <w:rsid w:val="00F23C04"/>
    <w:pPr>
      <w:keepNext/>
      <w:spacing w:before="60" w:after="60"/>
    </w:pPr>
    <w:rPr>
      <w:b/>
    </w:rPr>
  </w:style>
  <w:style w:type="paragraph" w:customStyle="1" w:styleId="WPreference">
    <w:name w:val="WP reference"/>
    <w:basedOn w:val="Tabletext"/>
    <w:rsid w:val="00F23C04"/>
    <w:pPr>
      <w:spacing w:before="60" w:after="60"/>
    </w:pPr>
  </w:style>
  <w:style w:type="character" w:styleId="FollowedHyperlink">
    <w:name w:val="FollowedHyperlink"/>
    <w:basedOn w:val="DefaultParagraphFont"/>
    <w:rsid w:val="00F23C04"/>
    <w:rPr>
      <w:color w:val="800080"/>
      <w:u w:val="single"/>
    </w:rPr>
  </w:style>
  <w:style w:type="character" w:styleId="Hyperlink">
    <w:name w:val="Hyperlink"/>
    <w:basedOn w:val="DefaultParagraphFont"/>
    <w:rsid w:val="00F23C04"/>
    <w:rPr>
      <w:color w:val="0000FF"/>
      <w:u w:val="single"/>
    </w:rPr>
  </w:style>
  <w:style w:type="paragraph" w:styleId="BodyText">
    <w:name w:val="Body Text"/>
    <w:basedOn w:val="Normal"/>
    <w:rsid w:val="00F23C04"/>
    <w:pPr>
      <w:spacing w:before="60"/>
      <w:ind w:right="200"/>
      <w:jc w:val="both"/>
    </w:pPr>
    <w:rPr>
      <w:noProof w:val="0"/>
      <w:szCs w:val="24"/>
    </w:rPr>
  </w:style>
  <w:style w:type="paragraph" w:styleId="BalloonText">
    <w:name w:val="Balloon Text"/>
    <w:basedOn w:val="Normal"/>
    <w:semiHidden/>
    <w:rsid w:val="005B11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4A24"/>
    <w:pPr>
      <w:ind w:left="720"/>
      <w:contextualSpacing/>
    </w:pPr>
  </w:style>
  <w:style w:type="table" w:styleId="TableGrid">
    <w:name w:val="Table Grid"/>
    <w:basedOn w:val="TableNormal"/>
    <w:rsid w:val="003F06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455B2"/>
    <w:rPr>
      <w:noProof/>
      <w:sz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44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2000%20-%20Audit%20Planning/2020.03B%20Analytical%20procedures..xls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/../4000-Audit%20Execution/Variance%20Analysis%20GIPL.xls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PMG\Template\Global%20Work%20Papers\Tools\GWPTool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59AD4-4EE1-454A-9C2C-1455BA726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GWPTools</Template>
  <TotalTime>827</TotalTime>
  <Pages>2</Pages>
  <Words>396</Words>
  <Characters>2304</Characters>
  <Application>Microsoft Office Word</Application>
  <DocSecurity>0</DocSecurity>
  <Lines>115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work paper</vt:lpstr>
    </vt:vector>
  </TitlesOfParts>
  <Company>KPMG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work paper</dc:title>
  <dc:subject>Global work papers</dc:subject>
  <dc:creator>rsriram</dc:creator>
  <cp:lastModifiedBy>Siddharth K B</cp:lastModifiedBy>
  <cp:revision>54</cp:revision>
  <cp:lastPrinted>2008-03-24T09:35:00Z</cp:lastPrinted>
  <dcterms:created xsi:type="dcterms:W3CDTF">2016-07-23T10:11:00Z</dcterms:created>
  <dcterms:modified xsi:type="dcterms:W3CDTF">2025-09-14T07:07:00Z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">
    <vt:lpwstr>Blank work paper.dot</vt:lpwstr>
  </property>
  <property fmtid="{D5CDD505-2E9C-101B-9397-08002B2CF9AE}" pid="3" name="Version">
    <vt:lpwstr>1.0.1</vt:lpwstr>
  </property>
  <property fmtid="{D5CDD505-2E9C-101B-9397-08002B2CF9AE}" pid="4" name="Application">
    <vt:lpwstr>Global work papers</vt:lpwstr>
  </property>
  <property fmtid="{D5CDD505-2E9C-101B-9397-08002B2CF9AE}" pid="5" name="GrammarlyDocumentId">
    <vt:lpwstr>6d48c416-7ef7-4c95-82a7-184aad99cac3</vt:lpwstr>
  </property>
</Properties>
</file>