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NAVDER</w:t>
        <w:br/>
        <w:t>Database Design</w:t>
      </w:r>
    </w:p>
    <w:p>
      <w:pPr>
        <w:jc w:val="center"/>
      </w:pPr>
      <w:r>
        <w:rPr>
          <w:b/>
          <w:sz w:val="30"/>
        </w:rPr>
        <w:t>Version 4.0 — Developer and New-Employee Guide</w:t>
      </w:r>
    </w:p>
    <w:p/>
    <w:p>
      <w:r>
        <w:t>Current PostgreSQL/PostGIS implementation baseline: Navder v1.0</w:t>
      </w:r>
    </w:p>
    <w:p>
      <w:r>
        <w:t>Updated 30 September 2026</w:t>
      </w:r>
    </w:p>
    <w:p>
      <w:r>
        <w:t>Purpose: explain the Navder data model in plain English first, then describe how PostgreSQL implements it.</w:t>
      </w:r>
    </w:p>
    <w:p>
      <w:r>
        <w:br w:type="page"/>
      </w:r>
    </w:p>
    <w:p>
      <w:pPr>
        <w:pStyle w:val="Heading1"/>
      </w:pPr>
      <w:r>
        <w:t>1. If you're new to Navder</w:t>
      </w:r>
    </w:p>
    <w:p>
      <w:r>
        <w:t>Navder models a temporary event as a digital operational environment. The database describes the event, the places within it, the things happening at those places, the ways people move between them, and the operational information that changes during the event.</w:t>
      </w:r>
    </w:p>
    <w:p>
      <w:r>
        <w:t>If you remember only one thing: Navder separates the relatively stable event design from live operational state. The canonical routing network remains the signed-off network; congestion, queue conditions, weather updates and communications are layered on top of it.</w:t>
      </w:r>
    </w:p>
    <w:p>
      <w:r>
        <w:t>The database is authoritative for structured persistent event data. The attendee application does not query PostgreSQL directly. Instead, event data is compiled into a published runtime package that the attendee app can store locally and use for offline navigation.</w:t>
      </w:r>
    </w:p>
    <w:p>
      <w:pPr>
        <w:pStyle w:val="Heading1"/>
      </w:pPr>
      <w:r>
        <w:t>2. The Navder mental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b/>
              </w:rPr>
              <w:t>Concept</w:t>
            </w:r>
          </w:p>
        </w:tc>
        <w:tc>
          <w:tcPr>
            <w:tcW w:type="dxa" w:w="3312"/>
            <w:vAlign w:val="top"/>
            <w:shd w:fill="D9EAF7"/>
          </w:tcPr>
          <w:p>
            <w:r>
              <w:rPr>
                <w:b/>
              </w:rPr>
              <w:t>Plain-English meaning</w:t>
            </w:r>
          </w:p>
        </w:tc>
        <w:tc>
          <w:tcPr>
            <w:tcW w:type="dxa" w:w="3312"/>
            <w:vAlign w:val="top"/>
            <w:shd w:fill="D9EAF7"/>
          </w:tcPr>
          <w:p>
            <w:r>
              <w:rPr>
                <w:b/>
              </w:rPr>
              <w:t>Example</w:t>
            </w:r>
          </w:p>
        </w:tc>
      </w:tr>
      <w:tr>
        <w:tc>
          <w:tcPr>
            <w:tcW w:type="dxa" w:w="3312"/>
            <w:vAlign w:val="top"/>
          </w:tcPr>
          <w:p>
            <w:r>
              <w:t>Event</w:t>
            </w:r>
          </w:p>
        </w:tc>
        <w:tc>
          <w:tcPr>
            <w:tcW w:type="dxa" w:w="3312"/>
            <w:vAlign w:val="top"/>
          </w:tcPr>
          <w:p>
            <w:r>
              <w:t>A specific temporary event</w:t>
            </w:r>
          </w:p>
        </w:tc>
        <w:tc>
          <w:tcPr>
            <w:tcW w:type="dxa" w:w="3312"/>
            <w:vAlign w:val="top"/>
          </w:tcPr>
          <w:p>
            <w:r>
              <w:t>Glastonbury 2027</w:t>
            </w:r>
          </w:p>
        </w:tc>
      </w:tr>
      <w:tr>
        <w:tc>
          <w:tcPr>
            <w:tcW w:type="dxa" w:w="3312"/>
            <w:vAlign w:val="top"/>
          </w:tcPr>
          <w:p>
            <w:r>
              <w:t>Zone</w:t>
            </w:r>
          </w:p>
        </w:tc>
        <w:tc>
          <w:tcPr>
            <w:tcW w:type="dxa" w:w="3312"/>
            <w:vAlign w:val="top"/>
          </w:tcPr>
          <w:p>
            <w:r>
              <w:t>A broad geographic area within the event</w:t>
            </w:r>
          </w:p>
        </w:tc>
        <w:tc>
          <w:tcPr>
            <w:tcW w:type="dxa" w:w="3312"/>
            <w:vAlign w:val="top"/>
          </w:tcPr>
          <w:p>
            <w:r>
              <w:t>West Festival Area</w:t>
            </w:r>
          </w:p>
        </w:tc>
      </w:tr>
      <w:tr>
        <w:tc>
          <w:tcPr>
            <w:tcW w:type="dxa" w:w="3312"/>
            <w:vAlign w:val="top"/>
          </w:tcPr>
          <w:p>
            <w:r>
              <w:t>POI</w:t>
            </w:r>
          </w:p>
        </w:tc>
        <w:tc>
          <w:tcPr>
            <w:tcW w:type="dxa" w:w="3312"/>
            <w:vAlign w:val="top"/>
          </w:tcPr>
          <w:p>
            <w:r>
              <w:t>A physical place or facility an attendee can identify</w:t>
            </w:r>
          </w:p>
        </w:tc>
        <w:tc>
          <w:tcPr>
            <w:tcW w:type="dxa" w:w="3312"/>
            <w:vAlign w:val="top"/>
          </w:tcPr>
          <w:p>
            <w:r>
              <w:t>Stage 7</w:t>
            </w:r>
          </w:p>
        </w:tc>
      </w:tr>
      <w:tr>
        <w:tc>
          <w:tcPr>
            <w:tcW w:type="dxa" w:w="3312"/>
            <w:vAlign w:val="top"/>
          </w:tcPr>
          <w:p>
            <w:r>
              <w:t>POI Item</w:t>
            </w:r>
          </w:p>
        </w:tc>
        <w:tc>
          <w:tcPr>
            <w:tcW w:type="dxa" w:w="3312"/>
            <w:vAlign w:val="top"/>
          </w:tcPr>
          <w:p>
            <w:r>
              <w:t>Something associated with a POI that an attendee may care about</w:t>
            </w:r>
          </w:p>
        </w:tc>
        <w:tc>
          <w:tcPr>
            <w:tcW w:type="dxa" w:w="3312"/>
            <w:vAlign w:val="top"/>
          </w:tcPr>
          <w:p>
            <w:r>
              <w:t>Beyoncé at Stage 7</w:t>
            </w:r>
          </w:p>
        </w:tc>
      </w:tr>
      <w:tr>
        <w:tc>
          <w:tcPr>
            <w:tcW w:type="dxa" w:w="3312"/>
            <w:vAlign w:val="top"/>
          </w:tcPr>
          <w:p>
            <w:r>
              <w:t>Item Sequence</w:t>
            </w:r>
          </w:p>
        </w:tc>
        <w:tc>
          <w:tcPr>
            <w:tcW w:type="dxa" w:w="3312"/>
            <w:vAlign w:val="top"/>
          </w:tcPr>
          <w:p>
            <w:r>
              <w:t>A scheduled occurrence of a POI Item on an event day</w:t>
            </w:r>
          </w:p>
        </w:tc>
        <w:tc>
          <w:tcPr>
            <w:tcW w:type="dxa" w:w="3312"/>
            <w:vAlign w:val="top"/>
          </w:tcPr>
          <w:p>
            <w:r>
              <w:t>Beyoncé — Friday 14:00</w:t>
            </w:r>
          </w:p>
        </w:tc>
      </w:tr>
      <w:tr>
        <w:tc>
          <w:tcPr>
            <w:tcW w:type="dxa" w:w="3312"/>
            <w:vAlign w:val="top"/>
          </w:tcPr>
          <w:p>
            <w:r>
              <w:t>Path</w:t>
            </w:r>
          </w:p>
        </w:tc>
        <w:tc>
          <w:tcPr>
            <w:tcW w:type="dxa" w:w="3312"/>
            <w:vAlign w:val="top"/>
          </w:tcPr>
          <w:p>
            <w:r>
              <w:t>A routable route through the event</w:t>
            </w:r>
          </w:p>
        </w:tc>
        <w:tc>
          <w:tcPr>
            <w:tcW w:type="dxa" w:w="3312"/>
            <w:vAlign w:val="top"/>
          </w:tcPr>
          <w:p>
            <w:r>
              <w:t>Stage 7 access path</w:t>
            </w:r>
          </w:p>
        </w:tc>
      </w:tr>
      <w:tr>
        <w:tc>
          <w:tcPr>
            <w:tcW w:type="dxa" w:w="3312"/>
            <w:vAlign w:val="top"/>
          </w:tcPr>
          <w:p>
            <w:r>
              <w:t>Junction</w:t>
            </w:r>
          </w:p>
        </w:tc>
        <w:tc>
          <w:tcPr>
            <w:tcW w:type="dxa" w:w="3312"/>
            <w:vAlign w:val="top"/>
          </w:tcPr>
          <w:p>
            <w:r>
              <w:t>A point where routing paths connect</w:t>
            </w:r>
          </w:p>
        </w:tc>
        <w:tc>
          <w:tcPr>
            <w:tcW w:type="dxa" w:w="3312"/>
            <w:vAlign w:val="top"/>
          </w:tcPr>
          <w:p>
            <w:r>
              <w:t>Main junction J12</w:t>
            </w:r>
          </w:p>
        </w:tc>
      </w:tr>
      <w:tr>
        <w:tc>
          <w:tcPr>
            <w:tcW w:type="dxa" w:w="3312"/>
            <w:vAlign w:val="top"/>
          </w:tcPr>
          <w:p>
            <w:r>
              <w:t>Path Segment</w:t>
            </w:r>
          </w:p>
        </w:tc>
        <w:tc>
          <w:tcPr>
            <w:tcW w:type="dxa" w:w="3312"/>
            <w:vAlign w:val="top"/>
          </w:tcPr>
          <w:p>
            <w:r>
              <w:t>A manageable section of a path</w:t>
            </w:r>
          </w:p>
        </w:tc>
        <w:tc>
          <w:tcPr>
            <w:tcW w:type="dxa" w:w="3312"/>
            <w:vAlign w:val="top"/>
          </w:tcPr>
          <w:p>
            <w:r>
              <w:t>Segment 4 of the Stage 7 route</w:t>
            </w:r>
          </w:p>
        </w:tc>
      </w:tr>
      <w:tr>
        <w:tc>
          <w:tcPr>
            <w:tcW w:type="dxa" w:w="3312"/>
            <w:vAlign w:val="top"/>
          </w:tcPr>
          <w:p>
            <w:r>
              <w:t>Queue</w:t>
            </w:r>
          </w:p>
        </w:tc>
        <w:tc>
          <w:tcPr>
            <w:tcW w:type="dxa" w:w="3312"/>
            <w:vAlign w:val="top"/>
          </w:tcPr>
          <w:p>
            <w:r>
              <w:t>A physical/operational queue associated with a POI</w:t>
            </w:r>
          </w:p>
        </w:tc>
        <w:tc>
          <w:tcPr>
            <w:tcW w:type="dxa" w:w="3312"/>
            <w:vAlign w:val="top"/>
          </w:tcPr>
          <w:p>
            <w:r>
              <w:t>Queue for Stage 7 entrance</w:t>
            </w:r>
          </w:p>
        </w:tc>
      </w:tr>
      <w:tr>
        <w:tc>
          <w:tcPr>
            <w:tcW w:type="dxa" w:w="3312"/>
            <w:vAlign w:val="top"/>
          </w:tcPr>
          <w:p>
            <w:r>
              <w:t>Event Beacon</w:t>
            </w:r>
          </w:p>
        </w:tc>
        <w:tc>
          <w:tcPr>
            <w:tcW w:type="dxa" w:w="3312"/>
            <w:vAlign w:val="top"/>
          </w:tcPr>
          <w:p>
            <w:r>
              <w:t>A sensing location deployed for this event</w:t>
            </w:r>
          </w:p>
        </w:tc>
        <w:tc>
          <w:tcPr>
            <w:tcW w:type="dxa" w:w="3312"/>
            <w:vAlign w:val="top"/>
          </w:tcPr>
          <w:p>
            <w:r>
              <w:t>BLE beacon at queue entrance</w:t>
            </w:r>
          </w:p>
        </w:tc>
      </w:tr>
      <w:tr>
        <w:tc>
          <w:tcPr>
            <w:tcW w:type="dxa" w:w="3312"/>
            <w:vAlign w:val="top"/>
          </w:tcPr>
          <w:p>
            <w:r>
              <w:t>Physical Beacon</w:t>
            </w:r>
          </w:p>
        </w:tc>
        <w:tc>
          <w:tcPr>
            <w:tcW w:type="dxa" w:w="3312"/>
            <w:vAlign w:val="top"/>
          </w:tcPr>
          <w:p>
            <w:r>
              <w:t>Reusable physical BLE hardware</w:t>
            </w:r>
          </w:p>
        </w:tc>
        <w:tc>
          <w:tcPr>
            <w:tcW w:type="dxa" w:w="3312"/>
            <w:vAlign w:val="top"/>
          </w:tcPr>
          <w:p>
            <w:r>
              <w:t>CP33 unit #14</w:t>
            </w:r>
          </w:p>
        </w:tc>
      </w:tr>
    </w:tbl>
    <w:p>
      <w:pPr>
        <w:pStyle w:val="Heading1"/>
      </w:pPr>
      <w:r>
        <w:t>3. How the database fits into the platform</w:t>
      </w:r>
    </w:p>
    <w:p>
      <w:r>
        <w:t>PostgreSQL/PostGIS is the authoritative system of record for Navder's structured persistent data. Redis is intended for short-lived state such as sessions, cache entries and transient coordination; it is not the authoritative store.</w:t>
      </w:r>
    </w:p>
    <w:p>
      <w:r>
        <w:t>Navder Survey is an authoring system for the surveyed routing network. Navder Studio is the 3D production environment. Neither replaces PostgreSQL/PostGIS as the authoritative structured data store.</w:t>
      </w:r>
    </w:p>
    <w:p>
      <w:r>
        <w:t>The attendee runtime uses compiled event data locally. It does not require a live database connection for basic navigation.</w:t>
      </w:r>
    </w:p>
    <w:p>
      <w:pPr>
        <w:pStyle w:val="Heading1"/>
      </w:pPr>
      <w:r>
        <w:t>4. The event data lifecycle</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rPr>
              <w:t>Stage</w:t>
            </w:r>
          </w:p>
        </w:tc>
        <w:tc>
          <w:tcPr>
            <w:tcW w:type="dxa" w:w="4968"/>
            <w:vAlign w:val="top"/>
            <w:shd w:fill="D9EAF7"/>
          </w:tcPr>
          <w:p>
            <w:r>
              <w:rPr>
                <w:b/>
              </w:rPr>
              <w:t>What happens</w:t>
            </w:r>
          </w:p>
        </w:tc>
      </w:tr>
      <w:tr>
        <w:tc>
          <w:tcPr>
            <w:tcW w:type="dxa" w:w="4968"/>
            <w:vAlign w:val="top"/>
          </w:tcPr>
          <w:p>
            <w:r>
              <w:t>1. Author</w:t>
            </w:r>
          </w:p>
        </w:tc>
        <w:tc>
          <w:tcPr>
            <w:tcW w:type="dxa" w:w="4968"/>
            <w:vAlign w:val="top"/>
          </w:tcPr>
          <w:p>
            <w:r>
              <w:t>Navder Survey and other authoring tools create and edit event data.</w:t>
            </w:r>
          </w:p>
        </w:tc>
      </w:tr>
      <w:tr>
        <w:tc>
          <w:tcPr>
            <w:tcW w:type="dxa" w:w="4968"/>
            <w:vAlign w:val="top"/>
          </w:tcPr>
          <w:p>
            <w:r>
              <w:t>2. Store</w:t>
            </w:r>
          </w:p>
        </w:tc>
        <w:tc>
          <w:tcPr>
            <w:tcW w:type="dxa" w:w="4968"/>
            <w:vAlign w:val="top"/>
          </w:tcPr>
          <w:p>
            <w:r>
              <w:t>Authoritative structured data is persisted in PostgreSQL/PostGIS.</w:t>
            </w:r>
          </w:p>
        </w:tc>
      </w:tr>
      <w:tr>
        <w:tc>
          <w:tcPr>
            <w:tcW w:type="dxa" w:w="4968"/>
            <w:vAlign w:val="top"/>
          </w:tcPr>
          <w:p>
            <w:r>
              <w:t>3. Build</w:t>
            </w:r>
          </w:p>
        </w:tc>
        <w:tc>
          <w:tcPr>
            <w:tcW w:type="dxa" w:w="4968"/>
            <w:vAlign w:val="top"/>
          </w:tcPr>
          <w:p>
            <w:r>
              <w:t>The event data required by the attendee experience is selected and compiled.</w:t>
            </w:r>
          </w:p>
        </w:tc>
      </w:tr>
      <w:tr>
        <w:tc>
          <w:tcPr>
            <w:tcW w:type="dxa" w:w="4968"/>
            <w:vAlign w:val="top"/>
          </w:tcPr>
          <w:p>
            <w:r>
              <w:t>4. Validate</w:t>
            </w:r>
          </w:p>
        </w:tc>
        <w:tc>
          <w:tcPr>
            <w:tcW w:type="dxa" w:w="4968"/>
            <w:vAlign w:val="top"/>
          </w:tcPr>
          <w:p>
            <w:r>
              <w:t>The generated runtime dataset is checked before publication.</w:t>
            </w:r>
          </w:p>
        </w:tc>
      </w:tr>
      <w:tr>
        <w:tc>
          <w:tcPr>
            <w:tcW w:type="dxa" w:w="4968"/>
            <w:vAlign w:val="top"/>
          </w:tcPr>
          <w:p>
            <w:r>
              <w:t>5. Publish</w:t>
            </w:r>
          </w:p>
        </w:tc>
        <w:tc>
          <w:tcPr>
            <w:tcW w:type="dxa" w:w="4968"/>
            <w:vAlign w:val="top"/>
          </w:tcPr>
          <w:p>
            <w:r>
              <w:t>The runtime package is published as event-specific JSON/assets.</w:t>
            </w:r>
          </w:p>
        </w:tc>
      </w:tr>
      <w:tr>
        <w:tc>
          <w:tcPr>
            <w:tcW w:type="dxa" w:w="4968"/>
            <w:vAlign w:val="top"/>
          </w:tcPr>
          <w:p>
            <w:r>
              <w:t>6. Deliver</w:t>
            </w:r>
          </w:p>
        </w:tc>
        <w:tc>
          <w:tcPr>
            <w:tcW w:type="dxa" w:w="4968"/>
            <w:vAlign w:val="top"/>
          </w:tcPr>
          <w:p>
            <w:r>
              <w:t>The attendee app retrieves the published runtime package and stores what it needs locally.</w:t>
            </w:r>
          </w:p>
        </w:tc>
      </w:tr>
      <w:tr>
        <w:tc>
          <w:tcPr>
            <w:tcW w:type="dxa" w:w="4968"/>
            <w:vAlign w:val="top"/>
          </w:tcPr>
          <w:p>
            <w:r>
              <w:t>7. Operate</w:t>
            </w:r>
          </w:p>
        </w:tc>
        <w:tc>
          <w:tcPr>
            <w:tcW w:type="dxa" w:w="4968"/>
            <w:vAlign w:val="top"/>
          </w:tcPr>
          <w:p>
            <w:r>
              <w:t>Live operational services provide connectivity-dependent updates and services.</w:t>
            </w:r>
          </w:p>
        </w:tc>
      </w:tr>
      <w:tr>
        <w:tc>
          <w:tcPr>
            <w:tcW w:type="dxa" w:w="4968"/>
            <w:vAlign w:val="top"/>
          </w:tcPr>
          <w:p>
            <w:r>
              <w:t>8. Archive</w:t>
            </w:r>
          </w:p>
        </w:tc>
        <w:tc>
          <w:tcPr>
            <w:tcW w:type="dxa" w:w="4968"/>
            <w:vAlign w:val="top"/>
          </w:tcPr>
          <w:p>
            <w:r>
              <w:t>Persistent operational/activity records can be retained for Event Intelligence and historical analysis.</w:t>
            </w:r>
          </w:p>
        </w:tc>
      </w:tr>
    </w:tbl>
    <w:p>
      <w:pPr>
        <w:pStyle w:val="Heading1"/>
      </w:pPr>
      <w:r>
        <w:t>5. Event deployment fields</w:t>
      </w:r>
    </w:p>
    <w:p>
      <w:r>
        <w:t>The Event record contains three deployment references. These describe the published event and its associated API; they are not database connection details.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b/>
              </w:rPr>
              <w:t>Field</w:t>
            </w:r>
          </w:p>
        </w:tc>
        <w:tc>
          <w:tcPr>
            <w:tcW w:type="dxa" w:w="3312"/>
            <w:vAlign w:val="top"/>
            <w:shd w:fill="D9EAF7"/>
          </w:tcPr>
          <w:p>
            <w:r>
              <w:rPr>
                <w:b/>
              </w:rPr>
              <w:t>Meaning</w:t>
            </w:r>
          </w:p>
        </w:tc>
        <w:tc>
          <w:tcPr>
            <w:tcW w:type="dxa" w:w="3312"/>
            <w:vAlign w:val="top"/>
            <w:shd w:fill="D9EAF7"/>
          </w:tcPr>
          <w:p>
            <w:r>
              <w:rPr>
                <w:b/>
              </w:rPr>
              <w:t>Example</w:t>
            </w:r>
          </w:p>
        </w:tc>
      </w:tr>
      <w:tr>
        <w:tc>
          <w:tcPr>
            <w:tcW w:type="dxa" w:w="3312"/>
            <w:vAlign w:val="top"/>
          </w:tcPr>
          <w:p>
            <w:r>
              <w:t>api_url</w:t>
            </w:r>
          </w:p>
        </w:tc>
        <w:tc>
          <w:tcPr>
            <w:tcW w:type="dxa" w:w="3312"/>
            <w:vAlign w:val="top"/>
          </w:tcPr>
          <w:p>
            <w:r>
              <w:t>The Navder API endpoint associated with the event.</w:t>
            </w:r>
          </w:p>
        </w:tc>
        <w:tc>
          <w:tcPr>
            <w:tcW w:type="dxa" w:w="3312"/>
            <w:vAlign w:val="top"/>
          </w:tcPr>
          <w:p>
            <w:r>
              <w:t>https://api.navder.app/events/123</w:t>
            </w:r>
          </w:p>
        </w:tc>
      </w:tr>
      <w:tr>
        <w:tc>
          <w:tcPr>
            <w:tcW w:type="dxa" w:w="3312"/>
            <w:vAlign w:val="top"/>
          </w:tcPr>
          <w:p>
            <w:r>
              <w:t>runtime_url</w:t>
            </w:r>
          </w:p>
        </w:tc>
        <w:tc>
          <w:tcPr>
            <w:tcW w:type="dxa" w:w="3312"/>
            <w:vAlign w:val="top"/>
          </w:tcPr>
          <w:p>
            <w:r>
              <w:t>The location from which the published attendee runtime JSON is retrieved.</w:t>
            </w:r>
          </w:p>
        </w:tc>
        <w:tc>
          <w:tcPr>
            <w:tcW w:type="dxa" w:w="3312"/>
            <w:vAlign w:val="top"/>
          </w:tcPr>
          <w:p>
            <w:r>
              <w:t>https://events.navder.app/123/runtime.json</w:t>
            </w:r>
          </w:p>
        </w:tc>
      </w:tr>
      <w:tr>
        <w:tc>
          <w:tcPr>
            <w:tcW w:type="dxa" w:w="3312"/>
            <w:vAlign w:val="top"/>
          </w:tcPr>
          <w:p>
            <w:r>
              <w:t>runtime_version</w:t>
            </w:r>
          </w:p>
        </w:tc>
        <w:tc>
          <w:tcPr>
            <w:tcW w:type="dxa" w:w="3312"/>
            <w:vAlign w:val="top"/>
          </w:tcPr>
          <w:p>
            <w:r>
              <w:t>The version identifier of the published event runtime package.</w:t>
            </w:r>
          </w:p>
        </w:tc>
        <w:tc>
          <w:tcPr>
            <w:tcW w:type="dxa" w:w="3312"/>
            <w:vAlign w:val="top"/>
          </w:tcPr>
          <w:p>
            <w:r>
              <w:t>1.0.0</w:t>
            </w:r>
          </w:p>
        </w:tc>
      </w:tr>
    </w:tbl>
    <w:p>
      <w:r>
        <w:t>Important: runtime_version is the version of the published event runtime package. It is not the PostgreSQL schema version and must not be used as a substitute for database migrations or schema versioning.</w:t>
      </w:r>
    </w:p>
    <w:p>
      <w:r>
        <w:t>The conceptual flow is: PostgreSQL/PostGIS → Build → Validate → Publish → Event Runtime JSON → web server/CDN → attendee app. The API is a separate service used for connectivity-dependent functions.</w:t>
      </w:r>
    </w:p>
    <w:p>
      <w:pPr>
        <w:pStyle w:val="Heading1"/>
      </w:pPr>
      <w:r>
        <w:t>6. How to read the database</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rPr>
              <w:t>Term</w:t>
            </w:r>
          </w:p>
        </w:tc>
        <w:tc>
          <w:tcPr>
            <w:tcW w:type="dxa" w:w="4968"/>
            <w:vAlign w:val="top"/>
            <w:shd w:fill="D9EAF7"/>
          </w:tcPr>
          <w:p>
            <w:r>
              <w:rPr>
                <w:b/>
              </w:rPr>
              <w:t>Meaning</w:t>
            </w:r>
          </w:p>
        </w:tc>
      </w:tr>
      <w:tr>
        <w:tc>
          <w:tcPr>
            <w:tcW w:type="dxa" w:w="4968"/>
            <w:vAlign w:val="top"/>
          </w:tcPr>
          <w:p>
            <w:r>
              <w:t>Schema</w:t>
            </w:r>
          </w:p>
        </w:tc>
        <w:tc>
          <w:tcPr>
            <w:tcW w:type="dxa" w:w="4968"/>
            <w:vAlign w:val="top"/>
          </w:tcPr>
          <w:p>
            <w:r>
              <w:t>A namespace that groups related tables, such as design, community or activity.</w:t>
            </w:r>
          </w:p>
        </w:tc>
      </w:tr>
      <w:tr>
        <w:tc>
          <w:tcPr>
            <w:tcW w:type="dxa" w:w="4968"/>
            <w:vAlign w:val="top"/>
          </w:tcPr>
          <w:p>
            <w:r>
              <w:t>Table</w:t>
            </w:r>
          </w:p>
        </w:tc>
        <w:tc>
          <w:tcPr>
            <w:tcW w:type="dxa" w:w="4968"/>
            <w:vAlign w:val="top"/>
          </w:tcPr>
          <w:p>
            <w:r>
              <w:t>A structured collection of records representing one concept.</w:t>
            </w:r>
          </w:p>
        </w:tc>
      </w:tr>
      <w:tr>
        <w:tc>
          <w:tcPr>
            <w:tcW w:type="dxa" w:w="4968"/>
            <w:vAlign w:val="top"/>
          </w:tcPr>
          <w:p>
            <w:r>
              <w:t>Primary key</w:t>
            </w:r>
          </w:p>
        </w:tc>
        <w:tc>
          <w:tcPr>
            <w:tcW w:type="dxa" w:w="4968"/>
            <w:vAlign w:val="top"/>
          </w:tcPr>
          <w:p>
            <w:r>
              <w:t>The unique identifier for a record.</w:t>
            </w:r>
          </w:p>
        </w:tc>
      </w:tr>
      <w:tr>
        <w:tc>
          <w:tcPr>
            <w:tcW w:type="dxa" w:w="4968"/>
            <w:vAlign w:val="top"/>
          </w:tcPr>
          <w:p>
            <w:r>
              <w:t>Foreign key</w:t>
            </w:r>
          </w:p>
        </w:tc>
        <w:tc>
          <w:tcPr>
            <w:tcW w:type="dxa" w:w="4968"/>
            <w:vAlign w:val="top"/>
          </w:tcPr>
          <w:p>
            <w:r>
              <w:t>A reference from one table to a record in another table.</w:t>
            </w:r>
          </w:p>
        </w:tc>
      </w:tr>
      <w:tr>
        <w:tc>
          <w:tcPr>
            <w:tcW w:type="dxa" w:w="4968"/>
            <w:vAlign w:val="top"/>
          </w:tcPr>
          <w:p>
            <w:r>
              <w:t>One-to-many</w:t>
            </w:r>
          </w:p>
        </w:tc>
        <w:tc>
          <w:tcPr>
            <w:tcW w:type="dxa" w:w="4968"/>
            <w:vAlign w:val="top"/>
          </w:tcPr>
          <w:p>
            <w:r>
              <w:t>One record can be related to many records in another table.</w:t>
            </w:r>
          </w:p>
        </w:tc>
      </w:tr>
      <w:tr>
        <w:tc>
          <w:tcPr>
            <w:tcW w:type="dxa" w:w="4968"/>
            <w:vAlign w:val="top"/>
          </w:tcPr>
          <w:p>
            <w:r>
              <w:t>Many-to-many</w:t>
            </w:r>
          </w:p>
        </w:tc>
        <w:tc>
          <w:tcPr>
            <w:tcW w:type="dxa" w:w="4968"/>
            <w:vAlign w:val="top"/>
          </w:tcPr>
          <w:p>
            <w:r>
              <w:t>A relationship implemented using a linking table.</w:t>
            </w:r>
          </w:p>
        </w:tc>
      </w:tr>
      <w:tr>
        <w:tc>
          <w:tcPr>
            <w:tcW w:type="dxa" w:w="4968"/>
            <w:vAlign w:val="top"/>
          </w:tcPr>
          <w:p>
            <w:r>
              <w:t>CHECK constraint</w:t>
            </w:r>
          </w:p>
        </w:tc>
        <w:tc>
          <w:tcPr>
            <w:tcW w:type="dxa" w:w="4968"/>
            <w:vAlign w:val="top"/>
          </w:tcPr>
          <w:p>
            <w:r>
              <w:t>A database rule that prevents invalid combinations or values.</w:t>
            </w:r>
          </w:p>
        </w:tc>
      </w:tr>
      <w:tr>
        <w:tc>
          <w:tcPr>
            <w:tcW w:type="dxa" w:w="4968"/>
            <w:vAlign w:val="top"/>
          </w:tcPr>
          <w:p>
            <w:r>
              <w:t>Geometry</w:t>
            </w:r>
          </w:p>
        </w:tc>
        <w:tc>
          <w:tcPr>
            <w:tcW w:type="dxa" w:w="4968"/>
            <w:vAlign w:val="top"/>
          </w:tcPr>
          <w:p>
            <w:r>
              <w:t>Spatial data stored using PostGIS. Navder's authoritative geographic CRS is WGS84/EPSG:4326.</w:t>
            </w:r>
          </w:p>
        </w:tc>
      </w:tr>
      <w:tr>
        <w:tc>
          <w:tcPr>
            <w:tcW w:type="dxa" w:w="4968"/>
            <w:vAlign w:val="top"/>
          </w:tcPr>
          <w:p>
            <w:r>
              <w:t>JSONB</w:t>
            </w:r>
          </w:p>
        </w:tc>
        <w:tc>
          <w:tcPr>
            <w:tcW w:type="dxa" w:w="4968"/>
            <w:vAlign w:val="top"/>
          </w:tcPr>
          <w:p>
            <w:r>
              <w:t>Flexible structured data stored inside PostgreSQL where the model deliberately allows metadata to vary.</w:t>
            </w:r>
          </w:p>
        </w:tc>
      </w:tr>
    </w:tbl>
    <w:p>
      <w:pPr>
        <w:pStyle w:val="Heading1"/>
      </w:pPr>
      <w:r>
        <w:t>7. Design schema — the event and physical world</w:t>
      </w:r>
    </w:p>
    <w:p>
      <w:pPr>
        <w:pStyle w:val="Heading2"/>
      </w:pPr>
      <w:r>
        <w:t>design.event</w:t>
      </w:r>
    </w:p>
    <w:p>
      <w:r>
        <w:t>The top-level event record. It establishes the event identity, dates, status, remote-support state and deployment references.</w:t>
      </w:r>
    </w:p>
    <w:p>
      <w:pPr>
        <w:pStyle w:val="Heading2"/>
      </w:pPr>
      <w:r>
        <w:t>design.zone</w:t>
      </w:r>
    </w:p>
    <w:p>
      <w:r>
        <w:t>A geographic area within an event. Zones provide broad spatial organisation rather than individual routing steps.</w:t>
      </w:r>
    </w:p>
    <w:p>
      <w:pPr>
        <w:pStyle w:val="Heading2"/>
      </w:pPr>
      <w:r>
        <w:t>design.zone_connector</w:t>
      </w:r>
    </w:p>
    <w:p>
      <w:r>
        <w:t>A point where the routing network connects to a zone.</w:t>
      </w:r>
    </w:p>
    <w:p>
      <w:pPr>
        <w:pStyle w:val="Heading2"/>
      </w:pPr>
      <w:r>
        <w:t>design.junction</w:t>
      </w:r>
    </w:p>
    <w:p>
      <w:r>
        <w:t>A point at which routing paths connect. Its geometry is the routing point; optional display geometry is presentation information.</w:t>
      </w:r>
    </w:p>
    <w:p>
      <w:pPr>
        <w:pStyle w:val="Heading2"/>
      </w:pPr>
      <w:r>
        <w:t>design.path</w:t>
      </w:r>
    </w:p>
    <w:p>
      <w:r>
        <w:t>The logical routable path connecting two endpoints.</w:t>
      </w:r>
    </w:p>
    <w:p>
      <w:pPr>
        <w:pStyle w:val="Heading2"/>
      </w:pPr>
      <w:r>
        <w:t>design.path_endpoint</w:t>
      </w:r>
    </w:p>
    <w:p>
      <w:r>
        <w:t>Defines the two ends of a path. An endpoint is connected to a junction, zone connector or terminus.</w:t>
      </w:r>
    </w:p>
    <w:p>
      <w:pPr>
        <w:pStyle w:val="Heading2"/>
      </w:pPr>
      <w:r>
        <w:t>design.path_segment</w:t>
      </w:r>
    </w:p>
    <w:p>
      <w:r>
        <w:t>A sequenced piece of a path. It carries the actual LINESTRING geometry and attributes such as width and fallback congestion.</w:t>
      </w:r>
    </w:p>
    <w:p>
      <w:pPr>
        <w:pStyle w:val="Heading2"/>
      </w:pPr>
      <w:r>
        <w:t>design.path_connector</w:t>
      </w:r>
    </w:p>
    <w:p>
      <w:r>
        <w:t>A point used to connect a POI or other local destination to the main routing network.</w:t>
      </w:r>
    </w:p>
    <w:p>
      <w:pPr>
        <w:pStyle w:val="Heading2"/>
      </w:pPr>
      <w:r>
        <w:t>design.terminus</w:t>
      </w:r>
    </w:p>
    <w:p>
      <w:r>
        <w:t>A routing endpoint representing the end of a network route.</w:t>
      </w:r>
    </w:p>
    <w:p>
      <w:pPr>
        <w:pStyle w:val="Heading2"/>
      </w:pPr>
      <w:r>
        <w:t>design.poi</w:t>
      </w:r>
    </w:p>
    <w:p>
      <w:r>
        <w:t>A physical place or facility at an event, such as a stage, toilet, bar or food vendor.</w:t>
      </w:r>
    </w:p>
    <w:p>
      <w:r>
        <w:t>Example: Stage 7 is a POI. The POI describes the physical place; it does not itself represent an artist or performance.</w:t>
      </w:r>
    </w:p>
    <w:p>
      <w:pPr>
        <w:pStyle w:val="Heading2"/>
      </w:pPr>
      <w:r>
        <w:t>design.poi_path_connector</w:t>
      </w:r>
    </w:p>
    <w:p>
      <w:r>
        <w:t>A many-to-many link between POIs and path connectors, allowing a POI to have multiple possible network connections.</w:t>
      </w:r>
    </w:p>
    <w:p>
      <w:pPr>
        <w:pStyle w:val="Heading1"/>
      </w:pPr>
      <w:r>
        <w:t>8. Content and programme model</w:t>
      </w:r>
    </w:p>
    <w:p>
      <w:r>
        <w:t>Navder deliberately separates a physical POI from the things associated with that POI and from scheduled occurrences.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b/>
              </w:rPr>
              <w:t>Level</w:t>
            </w:r>
          </w:p>
        </w:tc>
        <w:tc>
          <w:tcPr>
            <w:tcW w:type="dxa" w:w="3312"/>
            <w:vAlign w:val="top"/>
            <w:shd w:fill="D9EAF7"/>
          </w:tcPr>
          <w:p>
            <w:r>
              <w:rPr>
                <w:b/>
              </w:rPr>
              <w:t>Meaning</w:t>
            </w:r>
          </w:p>
        </w:tc>
        <w:tc>
          <w:tcPr>
            <w:tcW w:type="dxa" w:w="3312"/>
            <w:vAlign w:val="top"/>
            <w:shd w:fill="D9EAF7"/>
          </w:tcPr>
          <w:p>
            <w:r>
              <w:rPr>
                <w:b/>
              </w:rPr>
              <w:t>Example</w:t>
            </w:r>
          </w:p>
        </w:tc>
      </w:tr>
      <w:tr>
        <w:tc>
          <w:tcPr>
            <w:tcW w:type="dxa" w:w="3312"/>
            <w:vAlign w:val="top"/>
          </w:tcPr>
          <w:p>
            <w:r>
              <w:t>POI</w:t>
            </w:r>
          </w:p>
        </w:tc>
        <w:tc>
          <w:tcPr>
            <w:tcW w:type="dxa" w:w="3312"/>
            <w:vAlign w:val="top"/>
          </w:tcPr>
          <w:p>
            <w:r>
              <w:t>Physical place</w:t>
            </w:r>
          </w:p>
        </w:tc>
        <w:tc>
          <w:tcPr>
            <w:tcW w:type="dxa" w:w="3312"/>
            <w:vAlign w:val="top"/>
          </w:tcPr>
          <w:p>
            <w:r>
              <w:t>Stage 7</w:t>
            </w:r>
          </w:p>
        </w:tc>
      </w:tr>
      <w:tr>
        <w:tc>
          <w:tcPr>
            <w:tcW w:type="dxa" w:w="3312"/>
            <w:vAlign w:val="top"/>
          </w:tcPr>
          <w:p>
            <w:r>
              <w:t>POI Item</w:t>
            </w:r>
          </w:p>
        </w:tc>
        <w:tc>
          <w:tcPr>
            <w:tcW w:type="dxa" w:w="3312"/>
            <w:vAlign w:val="top"/>
          </w:tcPr>
          <w:p>
            <w:r>
              <w:t>Thing associated with that place</w:t>
            </w:r>
          </w:p>
        </w:tc>
        <w:tc>
          <w:tcPr>
            <w:tcW w:type="dxa" w:w="3312"/>
            <w:vAlign w:val="top"/>
          </w:tcPr>
          <w:p>
            <w:r>
              <w:t>Beyoncé</w:t>
            </w:r>
          </w:p>
        </w:tc>
      </w:tr>
      <w:tr>
        <w:tc>
          <w:tcPr>
            <w:tcW w:type="dxa" w:w="3312"/>
            <w:vAlign w:val="top"/>
          </w:tcPr>
          <w:p>
            <w:r>
              <w:t>Event Day</w:t>
            </w:r>
          </w:p>
        </w:tc>
        <w:tc>
          <w:tcPr>
            <w:tcW w:type="dxa" w:w="3312"/>
            <w:vAlign w:val="top"/>
          </w:tcPr>
          <w:p>
            <w:r>
              <w:t>A named/date-specific day of the event</w:t>
            </w:r>
          </w:p>
        </w:tc>
        <w:tc>
          <w:tcPr>
            <w:tcW w:type="dxa" w:w="3312"/>
            <w:vAlign w:val="top"/>
          </w:tcPr>
          <w:p>
            <w:r>
              <w:t>Friday</w:t>
            </w:r>
          </w:p>
        </w:tc>
      </w:tr>
      <w:tr>
        <w:tc>
          <w:tcPr>
            <w:tcW w:type="dxa" w:w="3312"/>
            <w:vAlign w:val="top"/>
          </w:tcPr>
          <w:p>
            <w:r>
              <w:t>Item Sequence</w:t>
            </w:r>
          </w:p>
        </w:tc>
        <w:tc>
          <w:tcPr>
            <w:tcW w:type="dxa" w:w="3312"/>
            <w:vAlign w:val="top"/>
          </w:tcPr>
          <w:p>
            <w:r>
              <w:t>Occurrence of the POI Item on an Event Day</w:t>
            </w:r>
          </w:p>
        </w:tc>
        <w:tc>
          <w:tcPr>
            <w:tcW w:type="dxa" w:w="3312"/>
            <w:vAlign w:val="top"/>
          </w:tcPr>
          <w:p>
            <w:r>
              <w:t>Beyoncé — Friday 14:00</w:t>
            </w:r>
          </w:p>
        </w:tc>
      </w:tr>
    </w:tbl>
    <w:p>
      <w:r>
        <w:t>The relationship is not a simple hierarchy. An event has both POIs and Event Days. A POI has POI Items. An Item Sequence represents an occurrence of a POI Item on an Event Day.</w:t>
      </w:r>
    </w:p>
    <w:p>
      <w:r>
        <w:t>This allows the same POI Item to appear on more than one event day without duplicating the underlying POI Item.</w:t>
      </w:r>
    </w:p>
    <w:p>
      <w:r>
        <w:t>Current tables: design.poi_type, design.poi_capability, design.poi_type_capability, design.poi_item, design.event_day and design.item_sequence.</w:t>
      </w:r>
    </w:p>
    <w:p>
      <w:pPr>
        <w:pStyle w:val="Heading1"/>
      </w:pPr>
      <w:r>
        <w:t>9. Traversal and accessibility</w:t>
      </w:r>
    </w:p>
    <w:p>
      <w:r>
        <w:t>The main Path network represents the canonical routing network. Traversal structures provide detailed movement inside or through a POI where the attendee needs more specific guidance.</w:t>
      </w:r>
    </w:p>
    <w:p>
      <w:r>
        <w:t>The semantic chain is: POI → Traversal Destination → Traversal Path → Path Connector → Path.</w:t>
      </w:r>
    </w:p>
    <w:p>
      <w:r>
        <w:t>A Traversal Destination might represent an upper tier, seating block or accessible seating area. A Traversal Path connects that destination to the main network.</w:t>
      </w:r>
    </w:p>
    <w:p>
      <w:r>
        <w:t>Traversal elements are not treated as a single ordered chain. Staircases, ramps, escalators and elevators are alternative/specific traversal elements. A Staircase contains one or more Flights, and Flight sequence numbers are unique within that staircase.</w:t>
      </w:r>
    </w:p>
    <w:p>
      <w:r>
        <w:t>Tables: design.traversal_destination, design.traversal_path, design.staircase, design.flight, design.ramp, design.escalator and design.elevator.</w:t>
      </w:r>
    </w:p>
    <w:p>
      <w:pPr>
        <w:pStyle w:val="Heading1"/>
      </w:pPr>
      <w:r>
        <w:t>10. Operational state</w:t>
      </w:r>
    </w:p>
    <w:p>
      <w:r>
        <w:t>Operational state changes during an event without changing the signed-off event design.</w:t>
      </w:r>
    </w:p>
    <w:p>
      <w:pPr>
        <w:pStyle w:val="Heading2"/>
      </w:pPr>
      <w:r>
        <w:t>Congestion</w:t>
      </w:r>
    </w:p>
    <w:p>
      <w:r>
        <w:t>A Path Segment has a fallback congestion level for use when live information is unavailable. Timestamped Path Segment Congestion records represent observations; they do not overwrite the configured fallback. Controlled levels are NONE, LOW, MEDIUM, HIGH and SEVERE.</w:t>
      </w:r>
    </w:p>
    <w:p>
      <w:pPr>
        <w:pStyle w:val="Heading2"/>
      </w:pPr>
      <w:r>
        <w:t>Queues</w:t>
      </w:r>
    </w:p>
    <w:p>
      <w:r>
        <w:t>A Queue belongs to a POI. A POI can have zero, one or many queues. Queue Wait Time records are timestamped measurements and each measurement has a Queue Source identifying its provenance.</w:t>
      </w:r>
    </w:p>
    <w:p>
      <w:r>
        <w:t>Queue Source is provenance, not necessarily a physical sensor. OPERATOR, GPS, BLE, UWB and WIFI are the current source types. The current implemented sensing configuration is BLE.</w:t>
      </w:r>
    </w:p>
    <w:p>
      <w:pPr>
        <w:pStyle w:val="Heading2"/>
      </w:pPr>
      <w:r>
        <w:t>Weather</w:t>
      </w:r>
    </w:p>
    <w:p>
      <w:r>
        <w:t>Weather Forecast represents provider-supplied forecast information. Weather Update represents an operator override. Weather Observation is deliberately not modelled in the current design.</w:t>
      </w:r>
    </w:p>
    <w:p>
      <w:r>
        <w:t>Tables: design.path_segment_congestion, design.queue, design.queue_wait_time, design.queue_source_type, design.queue_source, design.weather_forecast and design.weather_update.</w:t>
      </w:r>
    </w:p>
    <w:p>
      <w:pPr>
        <w:pStyle w:val="Heading1"/>
      </w:pPr>
      <w:r>
        <w:t>11. Beacon model</w:t>
      </w:r>
    </w:p>
    <w:p>
      <w:r>
        <w:t>Navder distinguishes reusable hardware from an event deployment.</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rPr>
              <w:t>Concept</w:t>
            </w:r>
          </w:p>
        </w:tc>
        <w:tc>
          <w:tcPr>
            <w:tcW w:type="dxa" w:w="4968"/>
            <w:vAlign w:val="top"/>
            <w:shd w:fill="D9EAF7"/>
          </w:tcPr>
          <w:p>
            <w:r>
              <w:rPr>
                <w:b/>
              </w:rPr>
              <w:t>Meaning</w:t>
            </w:r>
          </w:p>
        </w:tc>
      </w:tr>
      <w:tr>
        <w:tc>
          <w:tcPr>
            <w:tcW w:type="dxa" w:w="4968"/>
            <w:vAlign w:val="top"/>
          </w:tcPr>
          <w:p>
            <w:r>
              <w:t>Physical Beacon</w:t>
            </w:r>
          </w:p>
        </w:tc>
        <w:tc>
          <w:tcPr>
            <w:tcW w:type="dxa" w:w="4968"/>
            <w:vAlign w:val="top"/>
          </w:tcPr>
          <w:p>
            <w:r>
              <w:t>Reusable hardware inventory. Its iBeacon identity is UUID + Major + Minor.</w:t>
            </w:r>
          </w:p>
        </w:tc>
      </w:tr>
      <w:tr>
        <w:tc>
          <w:tcPr>
            <w:tcW w:type="dxa" w:w="4968"/>
            <w:vAlign w:val="top"/>
          </w:tcPr>
          <w:p>
            <w:r>
              <w:t>Event Beacon</w:t>
            </w:r>
          </w:p>
        </w:tc>
        <w:tc>
          <w:tcPr>
            <w:tcW w:type="dxa" w:w="4968"/>
            <w:vAlign w:val="top"/>
          </w:tcPr>
          <w:p>
            <w:r>
              <w:t>A logical sensing location deployed for a particular event.</w:t>
            </w:r>
          </w:p>
        </w:tc>
      </w:tr>
      <w:tr>
        <w:tc>
          <w:tcPr>
            <w:tcW w:type="dxa" w:w="4968"/>
            <w:vAlign w:val="top"/>
          </w:tcPr>
          <w:p>
            <w:r>
              <w:t>Event Beacon Physical</w:t>
            </w:r>
          </w:p>
        </w:tc>
        <w:tc>
          <w:tcPr>
            <w:tcW w:type="dxa" w:w="4968"/>
            <w:vAlign w:val="top"/>
          </w:tcPr>
          <w:p>
            <w:r>
              <w:t>The assignment of one or more physical beacons to the event beacon, with PRIMARY/SECONDARY roles.</w:t>
            </w:r>
          </w:p>
        </w:tc>
      </w:tr>
      <w:tr>
        <w:tc>
          <w:tcPr>
            <w:tcW w:type="dxa" w:w="4968"/>
            <w:vAlign w:val="top"/>
          </w:tcPr>
          <w:p>
            <w:r>
              <w:t>Queue Source BLE</w:t>
            </w:r>
          </w:p>
        </w:tc>
        <w:tc>
          <w:tcPr>
            <w:tcW w:type="dxa" w:w="4968"/>
            <w:vAlign w:val="top"/>
          </w:tcPr>
          <w:p>
            <w:r>
              <w:t>Connects a queue source to an Event Beacon when BLE is the sensing mechanism.</w:t>
            </w:r>
          </w:p>
        </w:tc>
      </w:tr>
    </w:tbl>
    <w:p>
      <w:r>
        <w:t>This means a physical CP33 beacon can be reused at another event without changing what the physical device is. The Event Beacon describes where and why it is deployed at the current event.</w:t>
      </w:r>
    </w:p>
    <w:p>
      <w:pPr>
        <w:pStyle w:val="Heading1"/>
      </w:pPr>
      <w:r>
        <w:t>12. POI capabilities and offerings</w:t>
      </w:r>
    </w:p>
    <w:p>
      <w:r>
        <w:t>POI Type is a controlled catalogue. Capabilities are permitted by POI type, but a capability is not automatically present merely because the POI type permits it.</w:t>
      </w:r>
    </w:p>
    <w:p>
      <w:r>
        <w:t>For example, a STAGE may support RUNNING_ORDER, but an individual Stage POI does not automatically have a running order until that capability is configured.</w:t>
      </w:r>
    </w:p>
    <w:p>
      <w:r>
        <w:t>Offering models commercial or service information associated with a POI. Offering items can have prices, images, allergen information and dietary attributes. Prices are part of the published event package; live price changes are not currently modelled.</w:t>
      </w:r>
    </w:p>
    <w:p>
      <w:r>
        <w:t>Tables include design.offering_type, design.offering, design.offering_availability, design.offering_item, design.allergen, design.offering_item_allergen, design.dietary_attribute and design.offering_item_dietary_attribute.</w:t>
      </w:r>
    </w:p>
    <w:p>
      <w:pPr>
        <w:pStyle w:val="Heading1"/>
      </w:pPr>
      <w:r>
        <w:t>13. Community</w:t>
      </w:r>
    </w:p>
    <w:p>
      <w:r>
        <w:t>Crew is an event-scoped group. Pal represents an individual Navder participant for the event. Crew_Pal records membership history and permits at most one active Crew membership per Pal.</w:t>
      </w:r>
    </w:p>
    <w:p>
      <w:r>
        <w:t>Crew membership has its own display_name. Crew Chat is persistent group conversation and is not part of Operator/System Audit. Typing indicators are ephemeral and are not persisted.</w:t>
      </w:r>
    </w:p>
    <w:p>
      <w:r>
        <w:t>Pal Pinger, Find Me and Find Pal are one-to-one functions. Pal Pinger is represented as activity/session information rather than a claimed successful 'found' outcome.</w:t>
      </w:r>
    </w:p>
    <w:p>
      <w:r>
        <w:t>Tables: community.crew, community.pal, community.crew_pal, community.crew_message.</w:t>
      </w:r>
    </w:p>
    <w:p>
      <w:pPr>
        <w:pStyle w:val="Heading1"/>
      </w:pPr>
      <w:r>
        <w:t>14. Messaging and communications</w:t>
      </w:r>
    </w:p>
    <w:p>
      <w:r>
        <w:t>Reliable messaging is separate from ordinary Crew Chat. A message is stored by the server and delivery continues until it is acknowledged, cancelled or expires. A failed delivery attempt is not itself a terminal message failure.</w:t>
      </w:r>
    </w:p>
    <w:p>
      <w:r>
        <w:t>An acknowledgement means the receiving device has received and stored the message; it does not mean that the user has read it.</w:t>
      </w:r>
    </w:p>
    <w:p>
      <w:r>
        <w:t>Internet and BLE are transports for suitable messages. UWB is primarily a proximity/ranging aid rather than a general messaging transport.</w:t>
      </w:r>
    </w:p>
    <w:p>
      <w:r>
        <w:t>Operational communications can target the whole event, a POI, a POI Item or an Item Sequence. Emergency communications require the appropriate higher authority.</w:t>
      </w:r>
    </w:p>
    <w:p>
      <w:r>
        <w:t>Tables: messaging.message, messaging.delivery, messaging.acknowledgement, communications.communication and communications.subscription.</w:t>
      </w:r>
    </w:p>
    <w:p>
      <w:pPr>
        <w:pStyle w:val="Heading1"/>
      </w:pPr>
      <w:r>
        <w:t>15. Authority and audit</w:t>
      </w:r>
    </w:p>
    <w:p>
      <w:r>
        <w:t>Firebase Authentication establishes the identity of an authorised user. Navder's database establishes event-specific authority: authentication and authorisation are separate concerns.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rPr>
              <w:t>Authority</w:t>
            </w:r>
          </w:p>
        </w:tc>
        <w:tc>
          <w:tcPr>
            <w:tcW w:type="dxa" w:w="4968"/>
            <w:vAlign w:val="top"/>
            <w:shd w:fill="D9EAF7"/>
          </w:tcPr>
          <w:p>
            <w:r>
              <w:rPr>
                <w:b/>
              </w:rPr>
              <w:t>What it covers</w:t>
            </w:r>
          </w:p>
        </w:tc>
      </w:tr>
      <w:tr>
        <w:tc>
          <w:tcPr>
            <w:tcW w:type="dxa" w:w="4968"/>
            <w:vAlign w:val="top"/>
          </w:tcPr>
          <w:p>
            <w:r>
              <w:t>Information Operator</w:t>
            </w:r>
          </w:p>
        </w:tc>
        <w:tc>
          <w:tcPr>
            <w:tcW w:type="dxa" w:w="4968"/>
            <w:vAlign w:val="top"/>
          </w:tcPr>
          <w:p>
            <w:r>
              <w:t>Information communications and emergency escalation by enabling Remote Support; cannot disable Remote Support or issue emergency communications.</w:t>
            </w:r>
          </w:p>
        </w:tc>
      </w:tr>
      <w:tr>
        <w:tc>
          <w:tcPr>
            <w:tcW w:type="dxa" w:w="4968"/>
            <w:vAlign w:val="top"/>
          </w:tcPr>
          <w:p>
            <w:r>
              <w:t>Operations Operator</w:t>
            </w:r>
          </w:p>
        </w:tc>
        <w:tc>
          <w:tcPr>
            <w:tcW w:type="dxa" w:w="4968"/>
            <w:vAlign w:val="top"/>
          </w:tcPr>
          <w:p>
            <w:r>
              <w:t>Information Operator capabilities plus operational changes and enabling/disabling Remote Support; cannot issue emergency communications.</w:t>
            </w:r>
          </w:p>
        </w:tc>
      </w:tr>
      <w:tr>
        <w:tc>
          <w:tcPr>
            <w:tcW w:type="dxa" w:w="4968"/>
            <w:vAlign w:val="top"/>
          </w:tcPr>
          <w:p>
            <w:r>
              <w:t>Emergency Operator</w:t>
            </w:r>
          </w:p>
        </w:tc>
        <w:tc>
          <w:tcPr>
            <w:tcW w:type="dxa" w:w="4968"/>
            <w:vAlign w:val="top"/>
          </w:tcPr>
          <w:p>
            <w:r>
              <w:t>Operations capabilities plus emergency communications.</w:t>
            </w:r>
          </w:p>
        </w:tc>
      </w:tr>
    </w:tbl>
    <w:p>
      <w:r>
        <w:t>OPERATOR and REMOTE describe the access mode/source of a state-changing action, not a person's job title. Audit records observable facts about significant operator, remote and system actions.</w:t>
      </w:r>
    </w:p>
    <w:p>
      <w:r>
        <w:t>Tables: audit.event, audit.operator, audit.authority and audit.operator_authority.</w:t>
      </w:r>
    </w:p>
    <w:p>
      <w:pPr>
        <w:pStyle w:val="Heading1"/>
      </w:pPr>
      <w:r>
        <w:t>16. Attendee activity</w:t>
      </w:r>
    </w:p>
    <w:p>
      <w:r>
        <w:t>Activity records meaningful attendee behaviour rather than raw sensor telemetry.</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rPr>
              <w:t>Table</w:t>
            </w:r>
          </w:p>
        </w:tc>
        <w:tc>
          <w:tcPr>
            <w:tcW w:type="dxa" w:w="4968"/>
            <w:vAlign w:val="top"/>
            <w:shd w:fill="D9EAF7"/>
          </w:tcPr>
          <w:p>
            <w:r>
              <w:rPr>
                <w:b/>
              </w:rPr>
              <w:t>Purpose</w:t>
            </w:r>
          </w:p>
        </w:tc>
      </w:tr>
      <w:tr>
        <w:tc>
          <w:tcPr>
            <w:tcW w:type="dxa" w:w="4968"/>
            <w:vAlign w:val="top"/>
          </w:tcPr>
          <w:p>
            <w:r>
              <w:t>activity.navigation_session</w:t>
            </w:r>
          </w:p>
        </w:tc>
        <w:tc>
          <w:tcPr>
            <w:tcW w:type="dxa" w:w="4968"/>
            <w:vAlign w:val="top"/>
          </w:tcPr>
          <w:p>
            <w:r>
              <w:t>One attendee navigation journey and its lifecycle.</w:t>
            </w:r>
          </w:p>
        </w:tc>
      </w:tr>
      <w:tr>
        <w:tc>
          <w:tcPr>
            <w:tcW w:type="dxa" w:w="4968"/>
            <w:vAlign w:val="top"/>
          </w:tcPr>
          <w:p>
            <w:r>
              <w:t>activity.navigation_segment</w:t>
            </w:r>
          </w:p>
        </w:tc>
        <w:tc>
          <w:tcPr>
            <w:tcW w:type="dxa" w:w="4968"/>
            <w:vAlign w:val="top"/>
          </w:tcPr>
          <w:p>
            <w:r>
              <w:t>Use of Path Segments within a navigation journey.</w:t>
            </w:r>
          </w:p>
        </w:tc>
      </w:tr>
      <w:tr>
        <w:tc>
          <w:tcPr>
            <w:tcW w:type="dxa" w:w="4968"/>
            <w:vAlign w:val="top"/>
          </w:tcPr>
          <w:p>
            <w:r>
              <w:t>activity.navigation_event</w:t>
            </w:r>
          </w:p>
        </w:tc>
        <w:tc>
          <w:tcPr>
            <w:tcW w:type="dxa" w:w="4968"/>
            <w:vAlign w:val="top"/>
          </w:tcPr>
          <w:p>
            <w:r>
              <w:t>Meaningful journey events rather than raw IMU/BLE/UWB samples.</w:t>
            </w:r>
          </w:p>
        </w:tc>
      </w:tr>
      <w:tr>
        <w:tc>
          <w:tcPr>
            <w:tcW w:type="dxa" w:w="4968"/>
            <w:vAlign w:val="top"/>
          </w:tcPr>
          <w:p>
            <w:r>
              <w:t>activity.pal_pinger_session</w:t>
            </w:r>
          </w:p>
        </w:tc>
        <w:tc>
          <w:tcPr>
            <w:tcW w:type="dxa" w:w="4968"/>
            <w:vAlign w:val="top"/>
          </w:tcPr>
          <w:p>
            <w:r>
              <w:t>Records that a Pal Pinger session occurred and its lifecycle.</w:t>
            </w:r>
          </w:p>
        </w:tc>
      </w:tr>
      <w:tr>
        <w:tc>
          <w:tcPr>
            <w:tcW w:type="dxa" w:w="4968"/>
            <w:vAlign w:val="top"/>
          </w:tcPr>
          <w:p>
            <w:r>
              <w:t>activity.assistance_request</w:t>
            </w:r>
          </w:p>
        </w:tc>
        <w:tc>
          <w:tcPr>
            <w:tcW w:type="dxa" w:w="4968"/>
            <w:vAlign w:val="top"/>
          </w:tcPr>
          <w:p>
            <w:r>
              <w:t>Records an assistance request and acknowledgement counts without claiming physical help was delivered.</w:t>
            </w:r>
          </w:p>
        </w:tc>
      </w:tr>
    </w:tbl>
    <w:p>
      <w:pPr>
        <w:pStyle w:val="Heading1"/>
      </w:pPr>
      <w:r>
        <w:t>17. What is deliberately not in the database</w:t>
      </w:r>
    </w:p>
    <w:p>
      <w:r>
        <w:t>• Raw IMU, BLE and UWB telemetry as a central core dataset.</w:t>
      </w:r>
    </w:p>
    <w:p>
      <w:r>
        <w:t>• Weather Observation as a manually maintained operational table.</w:t>
      </w:r>
    </w:p>
    <w:p>
      <w:r>
        <w:t>• A separate Pal Pinger Event table claiming a successful physical 'find'.</w:t>
      </w:r>
    </w:p>
    <w:p>
      <w:r>
        <w:t>• Large binary 3D/media assets stored directly in PostgreSQL; the database should hold metadata/references where appropriate.</w:t>
      </w:r>
    </w:p>
    <w:p>
      <w:r>
        <w:t>• The Survey application's offline working store. Survey works locally and synchronises through the API; PostgreSQL remains authoritative.</w:t>
      </w:r>
    </w:p>
    <w:p>
      <w:r>
        <w:t>• The attendee runtime package as a second authoritative database. It is a compiled deployment artefact.</w:t>
      </w:r>
    </w:p>
    <w:p>
      <w:r>
        <w:t>• Transient Redis state as authoritative event data.</w:t>
      </w:r>
    </w:p>
    <w:p>
      <w:pPr>
        <w:pStyle w:val="Heading1"/>
      </w:pPr>
      <w:r>
        <w:t>18. Database schemas and their purpose</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rPr>
              <w:t>Schema</w:t>
            </w:r>
          </w:p>
        </w:tc>
        <w:tc>
          <w:tcPr>
            <w:tcW w:type="dxa" w:w="4968"/>
            <w:vAlign w:val="top"/>
            <w:shd w:fill="D9EAF7"/>
          </w:tcPr>
          <w:p>
            <w:r>
              <w:rPr>
                <w:b/>
              </w:rPr>
              <w:t>Purpose</w:t>
            </w:r>
          </w:p>
        </w:tc>
      </w:tr>
      <w:tr>
        <w:tc>
          <w:tcPr>
            <w:tcW w:type="dxa" w:w="4968"/>
            <w:vAlign w:val="top"/>
          </w:tcPr>
          <w:p>
            <w:r>
              <w:t>design</w:t>
            </w:r>
          </w:p>
        </w:tc>
        <w:tc>
          <w:tcPr>
            <w:tcW w:type="dxa" w:w="4968"/>
            <w:vAlign w:val="top"/>
          </w:tcPr>
          <w:p>
            <w:r>
              <w:t>Authoritative event design, routing, POIs, content, operational configuration and sensing configuration.</w:t>
            </w:r>
          </w:p>
        </w:tc>
      </w:tr>
      <w:tr>
        <w:tc>
          <w:tcPr>
            <w:tcW w:type="dxa" w:w="4968"/>
            <w:vAlign w:val="top"/>
          </w:tcPr>
          <w:p>
            <w:r>
              <w:t>community</w:t>
            </w:r>
          </w:p>
        </w:tc>
        <w:tc>
          <w:tcPr>
            <w:tcW w:type="dxa" w:w="4968"/>
            <w:vAlign w:val="top"/>
          </w:tcPr>
          <w:p>
            <w:r>
              <w:t>Crew, Pal and Crew membership/chat.</w:t>
            </w:r>
          </w:p>
        </w:tc>
      </w:tr>
      <w:tr>
        <w:tc>
          <w:tcPr>
            <w:tcW w:type="dxa" w:w="4968"/>
            <w:vAlign w:val="top"/>
          </w:tcPr>
          <w:p>
            <w:r>
              <w:t>messaging</w:t>
            </w:r>
          </w:p>
        </w:tc>
        <w:tc>
          <w:tcPr>
            <w:tcW w:type="dxa" w:w="4968"/>
            <w:vAlign w:val="top"/>
          </w:tcPr>
          <w:p>
            <w:r>
              <w:t>Durable message delivery lifecycle.</w:t>
            </w:r>
          </w:p>
        </w:tc>
      </w:tr>
      <w:tr>
        <w:tc>
          <w:tcPr>
            <w:tcW w:type="dxa" w:w="4968"/>
            <w:vAlign w:val="top"/>
          </w:tcPr>
          <w:p>
            <w:r>
              <w:t>communications</w:t>
            </w:r>
          </w:p>
        </w:tc>
        <w:tc>
          <w:tcPr>
            <w:tcW w:type="dxa" w:w="4968"/>
            <w:vAlign w:val="top"/>
          </w:tcPr>
          <w:p>
            <w:r>
              <w:t>Event communications and attendee subscriptions.</w:t>
            </w:r>
          </w:p>
        </w:tc>
      </w:tr>
      <w:tr>
        <w:tc>
          <w:tcPr>
            <w:tcW w:type="dxa" w:w="4968"/>
            <w:vAlign w:val="top"/>
          </w:tcPr>
          <w:p>
            <w:r>
              <w:t>audit</w:t>
            </w:r>
          </w:p>
        </w:tc>
        <w:tc>
          <w:tcPr>
            <w:tcW w:type="dxa" w:w="4968"/>
            <w:vAlign w:val="top"/>
          </w:tcPr>
          <w:p>
            <w:r>
              <w:t>Operator, authority and system audit.</w:t>
            </w:r>
          </w:p>
        </w:tc>
      </w:tr>
      <w:tr>
        <w:tc>
          <w:tcPr>
            <w:tcW w:type="dxa" w:w="4968"/>
            <w:vAlign w:val="top"/>
          </w:tcPr>
          <w:p>
            <w:r>
              <w:t>activity</w:t>
            </w:r>
          </w:p>
        </w:tc>
        <w:tc>
          <w:tcPr>
            <w:tcW w:type="dxa" w:w="4968"/>
            <w:vAlign w:val="top"/>
          </w:tcPr>
          <w:p>
            <w:r>
              <w:t>Attendee navigation and assistance activity.</w:t>
            </w:r>
          </w:p>
        </w:tc>
      </w:tr>
      <w:tr>
        <w:tc>
          <w:tcPr>
            <w:tcW w:type="dxa" w:w="4968"/>
            <w:vAlign w:val="top"/>
          </w:tcPr>
          <w:p>
            <w:r>
              <w:t>survey</w:t>
            </w:r>
          </w:p>
        </w:tc>
        <w:tc>
          <w:tcPr>
            <w:tcW w:type="dxa" w:w="4968"/>
            <w:vAlign w:val="top"/>
          </w:tcPr>
          <w:p>
            <w:r>
              <w:t>Reserved for future server-side survey model; current survey authoring is local-first and syncs through the API.</w:t>
            </w:r>
          </w:p>
        </w:tc>
      </w:tr>
      <w:tr>
        <w:tc>
          <w:tcPr>
            <w:tcW w:type="dxa" w:w="4968"/>
            <w:vAlign w:val="top"/>
          </w:tcPr>
          <w:p>
            <w:r>
              <w:t>content</w:t>
            </w:r>
          </w:p>
        </w:tc>
        <w:tc>
          <w:tcPr>
            <w:tcW w:type="dxa" w:w="4968"/>
            <w:vAlign w:val="top"/>
          </w:tcPr>
          <w:p>
            <w:r>
              <w:t>Reserved for future content-specific modelling not yet implemented in the current baseline.</w:t>
            </w:r>
          </w:p>
        </w:tc>
      </w:tr>
      <w:tr>
        <w:tc>
          <w:tcPr>
            <w:tcW w:type="dxa" w:w="4968"/>
            <w:vAlign w:val="top"/>
          </w:tcPr>
          <w:p>
            <w:r>
              <w:t>operations</w:t>
            </w:r>
          </w:p>
        </w:tc>
        <w:tc>
          <w:tcPr>
            <w:tcW w:type="dxa" w:w="4968"/>
            <w:vAlign w:val="top"/>
          </w:tcPr>
          <w:p>
            <w:r>
              <w:t>Reserved for future operational models not yet implemented in the current baseline.</w:t>
            </w:r>
          </w:p>
        </w:tc>
      </w:tr>
      <w:tr>
        <w:tc>
          <w:tcPr>
            <w:tcW w:type="dxa" w:w="4968"/>
            <w:vAlign w:val="top"/>
          </w:tcPr>
          <w:p>
            <w:r>
              <w:t>intelligence</w:t>
            </w:r>
          </w:p>
        </w:tc>
        <w:tc>
          <w:tcPr>
            <w:tcW w:type="dxa" w:w="4968"/>
            <w:vAlign w:val="top"/>
          </w:tcPr>
          <w:p>
            <w:r>
              <w:t>Reserved for derived Event Intelligence models; current baseline records source data in other schemas.</w:t>
            </w:r>
          </w:p>
        </w:tc>
      </w:tr>
      <w:tr>
        <w:tc>
          <w:tcPr>
            <w:tcW w:type="dxa" w:w="4968"/>
            <w:vAlign w:val="top"/>
          </w:tcPr>
          <w:p>
            <w:r>
              <w:t>public</w:t>
            </w:r>
          </w:p>
        </w:tc>
        <w:tc>
          <w:tcPr>
            <w:tcW w:type="dxa" w:w="4968"/>
            <w:vAlign w:val="top"/>
          </w:tcPr>
          <w:p>
            <w:r>
              <w:t>PostgreSQL/PostGIS standard public namespace and extension objects as applicable.</w:t>
            </w:r>
          </w:p>
        </w:tc>
      </w:tr>
    </w:tbl>
    <w:p>
      <w:pPr>
        <w:pStyle w:val="Heading1"/>
      </w:pPr>
      <w:r>
        <w:t>19. Developer rules — do not break these assumptions</w:t>
      </w:r>
    </w:p>
    <w:p>
      <w:r>
        <w:t>1. PostgreSQL/PostGIS is authoritative for structured persistent Navder data.</w:t>
      </w:r>
    </w:p>
    <w:p>
      <w:r>
        <w:t>2. Do not use Redis as the source of truth for data that Navder must retain.</w:t>
      </w:r>
    </w:p>
    <w:p>
      <w:r>
        <w:t>3. Do not alter the canonical Path network merely because live congestion changes.</w:t>
      </w:r>
    </w:p>
    <w:p>
      <w:r>
        <w:t>4. Do not confuse a POI with a POI Item.</w:t>
      </w:r>
    </w:p>
    <w:p>
      <w:r>
        <w:t>5. Do not confuse a Physical Beacon with an Event Beacon.</w:t>
      </w:r>
    </w:p>
    <w:p>
      <w:r>
        <w:t>6. Do not treat Queue Source as synonymous with a physical sensor.</w:t>
      </w:r>
    </w:p>
    <w:p>
      <w:r>
        <w:t>7. Do not interpret a delivery acknowledgement as proof that a user read a message.</w:t>
      </w:r>
    </w:p>
    <w:p>
      <w:r>
        <w:t>8. Do not treat runtime_version as the database schema version.</w:t>
      </w:r>
    </w:p>
    <w:p>
      <w:r>
        <w:t>9. Do not put the attendee app directly against PostgreSQL; use the published runtime and Navder API.</w:t>
      </w:r>
    </w:p>
    <w:p>
      <w:r>
        <w:t>10. Keep WGS84/EPSG:4326 as the authoritative geographic coordinate system in PostGIS.</w:t>
      </w:r>
    </w:p>
    <w:p>
      <w:r>
        <w:t>11. Treat nullable foreign keys as deliberate modelling choices; do not remove them without understanding the associated polymorphic/optional relationship.</w:t>
      </w:r>
    </w:p>
    <w:p>
      <w:r>
        <w:t>12. When adding a new controlled text value, document the vocabulary and constraints rather than silently inventing a new value.</w:t>
      </w:r>
    </w:p>
    <w:p>
      <w:pPr>
        <w:pStyle w:val="Heading1"/>
      </w:pPr>
      <w:r>
        <w:t>20. Current implementation baseline</w:t>
      </w:r>
    </w:p>
    <w:p>
      <w:r>
        <w:t>The current development database contains 61 tables across the implemented schemas, with the survey, content, operations and intelligence schemas reserved for future work. PostgreSQL 18.6 and PostGIS 3.6 are installed in the current development environment.</w:t>
      </w:r>
    </w:p>
    <w:p>
      <w:r>
        <w:t>The repository contains a single clean baseline migration: migrations/001_initial_schema.sql. The development database was rebuilt from that migration and compared with the live schema. The only dump differences observed were PostgreSQL's generated \restrict / \unrestrict tokens; the database structures otherwise matched.</w:t>
      </w:r>
    </w:p>
    <w:p>
      <w:r>
        <w:t>This is a development baseline. It is intentionally simple: when the database design is deliberately changed during this development phase, the clean baseline can be regenerated rather than preserving unnecessary migration archaeology.</w:t>
      </w:r>
    </w:p>
    <w:p>
      <w:pPr>
        <w:pStyle w:val="Heading1"/>
      </w:pPr>
      <w:r>
        <w:t>21. Related technical references</w:t>
      </w:r>
    </w:p>
    <w:p>
      <w:r>
        <w:t>For infrastructure, deployment, Docker, Redis, offline Survey synchronisation, Navder Studio and the 3D/runtime pipeline, see the Navder Infrastructure Design. For exact columns, types, constraints, indexes and foreign keys, use the Data Dictionary generated from the current PostgreSQL schema.</w:t>
      </w:r>
    </w:p>
    <w:p>
      <w:r>
        <w:t>The database design document answers: “What does this mean and why does it exist?” The Data Dictionary answers: “Exactly what is the database definition?”</w:t>
      </w:r>
    </w:p>
    <w:p>
      <w:pPr>
        <w:pStyle w:val="Heading1"/>
      </w:pPr>
      <w:r>
        <w:t>22. Version history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b/>
              </w:rPr>
              <w:t>Version</w:t>
            </w:r>
          </w:p>
        </w:tc>
        <w:tc>
          <w:tcPr>
            <w:tcW w:type="dxa" w:w="3312"/>
            <w:vAlign w:val="top"/>
            <w:shd w:fill="D9EAF7"/>
          </w:tcPr>
          <w:p>
            <w:r>
              <w:rPr>
                <w:b/>
              </w:rPr>
              <w:t>Date</w:t>
            </w:r>
          </w:p>
        </w:tc>
        <w:tc>
          <w:tcPr>
            <w:tcW w:type="dxa" w:w="3312"/>
            <w:vAlign w:val="top"/>
            <w:shd w:fill="D9EAF7"/>
          </w:tcPr>
          <w:p>
            <w:r>
              <w:rPr>
                <w:b/>
              </w:rPr>
              <w:t>Summary</w:t>
            </w:r>
          </w:p>
        </w:tc>
      </w:tr>
      <w:tr>
        <w:tc>
          <w:tcPr>
            <w:tcW w:type="dxa" w:w="3312"/>
            <w:vAlign w:val="top"/>
          </w:tcPr>
          <w:p>
            <w:r>
              <w:t>1.0</w:t>
            </w:r>
          </w:p>
        </w:tc>
        <w:tc>
          <w:tcPr>
            <w:tcW w:type="dxa" w:w="3312"/>
            <w:vAlign w:val="top"/>
          </w:tcPr>
          <w:p>
            <w:r>
              <w:t>22 September 2026</w:t>
            </w:r>
          </w:p>
        </w:tc>
        <w:tc>
          <w:tcPr>
            <w:tcW w:type="dxa" w:w="3312"/>
            <w:vAlign w:val="top"/>
          </w:tcPr>
          <w:p>
            <w:r>
              <w:t>Logical event design baseline.</w:t>
            </w:r>
          </w:p>
        </w:tc>
      </w:tr>
      <w:tr>
        <w:tc>
          <w:tcPr>
            <w:tcW w:type="dxa" w:w="3312"/>
            <w:vAlign w:val="top"/>
          </w:tcPr>
          <w:p>
            <w:r>
              <w:t>3.0</w:t>
            </w:r>
          </w:p>
        </w:tc>
        <w:tc>
          <w:tcPr>
            <w:tcW w:type="dxa" w:w="3312"/>
            <w:vAlign w:val="top"/>
          </w:tcPr>
          <w:p>
            <w:r>
              <w:t>September 2026</w:t>
            </w:r>
          </w:p>
        </w:tc>
        <w:tc>
          <w:tcPr>
            <w:tcW w:type="dxa" w:w="3312"/>
            <w:vAlign w:val="top"/>
          </w:tcPr>
          <w:p>
            <w:r>
              <w:t>Consolidated physical database documentation.</w:t>
            </w:r>
          </w:p>
        </w:tc>
      </w:tr>
      <w:tr>
        <w:tc>
          <w:tcPr>
            <w:tcW w:type="dxa" w:w="3312"/>
            <w:vAlign w:val="top"/>
          </w:tcPr>
          <w:p>
            <w:r>
              <w:t>4.0</w:t>
            </w:r>
          </w:p>
        </w:tc>
        <w:tc>
          <w:tcPr>
            <w:tcW w:type="dxa" w:w="3312"/>
            <w:vAlign w:val="top"/>
          </w:tcPr>
          <w:p>
            <w:r>
              <w:t>30 September 2026</w:t>
            </w:r>
          </w:p>
        </w:tc>
        <w:tc>
          <w:tcPr>
            <w:tcW w:type="dxa" w:w="3312"/>
            <w:vAlign w:val="top"/>
          </w:tcPr>
          <w:p>
            <w:r>
              <w:t>Rewritten as a new-employee/developer guide; aligns with the clean PostgreSQL baseline and documents event deployment fields api_url, runtime_url and runtime_version.</w:t>
            </w:r>
          </w:p>
        </w:tc>
      </w:tr>
    </w:tbl>
    <w:p/>
    <w:p>
      <w:r>
        <w:t>NAVDER | Database Design v4.0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