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Artistic and Technical Blueprint for Vitrecrag: Scaling the Kiln Arthropod in Hollowtide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accurate depiction of massive scale within the rigid constraints of a logical pixel grid represents one of the most complex challenges in digital creature design. In the context of Hollowtide, Vitrecrag must be translated into a truly enormous, grounded kiln arthropod while adhering strictly to a </w:t>
      </w:r>
      <w:r w:rsidDel="00000000" w:rsidR="00000000" w:rsidRPr="00000000">
        <w:rPr>
          <w:rFonts w:ascii="Google Sans" w:cs="Google Sans" w:eastAsia="Google Sans" w:hAnsi="Google Sans"/>
          <w:color w:val="1f1f1f"/>
        </w:rPr>
        <w:drawing>
          <wp:inline distB="19050" distT="19050" distL="19050" distR="19050">
            <wp:extent cx="827336" cy="23774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7336" cy="237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logical-pixel boundary and functioning within a </w:t>
      </w:r>
      <w:r w:rsidDel="00000000" w:rsidR="00000000" w:rsidRPr="00000000">
        <w:rPr>
          <w:rFonts w:ascii="Google Sans" w:cs="Google Sans" w:eastAsia="Google Sans" w:hAnsi="Google Sans"/>
          <w:color w:val="1f1f1f"/>
        </w:rPr>
        <w:drawing>
          <wp:inline distB="19050" distT="19050" distL="19050" distR="19050">
            <wp:extent cx="925264" cy="238470"/>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925264" cy="2384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Godot battle viewport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visual and technical architecture required to execute this successfully necessitates a synthesis of biomechanical principles, advanced pixel-art clustering techniques, and engine-specific rendering mathematics. The objective is to produce a heavier, fundamentally grounded iteration of Vitrecrag’s existing silhouette that conveys immense weight and structural integrity without importing speculative mass calculations or unnecessary camera manipulation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audits the provided external documentation, dismantles overstated claims regarding the creature's physical dimensions, and establishes a scientifically grounded, artistically cohesive blueprint for Vitrecrag. By establishing a baseline rendering standard from the approved Cinderhide sprite and applying morphological transition principles to the earlier Slagglass form, the narrative provides a comprehensive framework for realizing this giant arthropod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an evaluation of the Godot engine's perspective variables determines precisely how numerical scaling translates to visual perception, highlighting the absolute necessity of live in-game validation for specific optical phenomena. To maintain analytical rigor, the following sections explicitly separate sourced historical and technical facts, visual-design inferences derived from those facts, and original Hollowtide proposals generated specifically for this project implementation.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Audit of the Dex Generation Report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identified as the "Complete Creature Dex Generation" report functions as an external conceptual proposal rather than an authoritative technical document native to the Hollowtide engine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it provides a rudimentary foundation for conceptualizing a giant creature, a rigorous audit reveals multiple structural and physical overstatements that conflict with both biomechanical reality and the established constraints of the Hollowtide project. Accepting the report's raw numbers by default introduces severe anomalies into the creature's implied density, material science, and subsequent engine integration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prominent anomaly exists within the proposed dimensional and mass values. Sourced facts from the report suggest a mass of 2,450 tons for a creature with an exact height of 14.5 meters, a shell extent of 18 to 22 meters, and a width of approximately 12 meters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modeling Vitrecrag's bounding volume as a standard ellipsoid, the total enclosed volume equals roughly 1,822 cubic meters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creature were a completely solid block of basalt—a highly dense volcanic rock with a specific gravity averaging around 2.9 to 3.0—its mass would exceed 5,200 tons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original Hollowtide proposals explicitly define Vitrecrag as a hollow kiln arthropod, necessitating substantial internal voids for its furnace chamber, air passages, and organic structures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Assuming a realistic solid fraction of 22 percent for the thick external shell and internal lattice, the structural volume is reduced to approximately 400 cubic meters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this volume, a shell composed of basalt and refractory ceramic would yield a mass between 921 and 1,162 tons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Therefore, the visual-design inference is that the report's claim of 2,450 tons implies an apparent density of roughly 1.34 tons per cubic meter across the entire bounding volume, a metric that fundamentally contradicts the physics of a hollow, functioning biological kiln.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document assigns an exact height of 14.5 meters, directly duplicating the canonical height of the Pokémon Wailord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Defaulting to recognizable external intellectual property metrics stifles original physical worldbuilding and creates arbitrary restrictions on the creature's morphological design. The original Hollowtide proposal mandates that the project must establish its own dimensional reality based on the interaction between the creature's habitat and its anatomical necessities, explicitly forbidding the uncritical reuse of Wailord's height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also uncovers significant technical overstatements regarding game engine integration. Sourced facts from the Dex report insist that dynamic camera panning and specific resource-duplication safeguards are mandatory for implementing a creature of this size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established Godot architecture in Hollowtide contradicts these assertions. The game utilizes a fixed HUD layered over a discrete BattleStage Node2D, utilizing a FocusStage script that handles offset shakes for impacts rather than complex dynamic camera panning across a vast arena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Similarly, the project's data layer already isolates combat health points from base creature resources during runtime, rendering the proposed duplication safeguards redundant and potentially disruptive to the existing scripts/battle_screen.gd logic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visual-design inference drawn here is that external attempts to inject complex camera mechanics would destabilize the deliberate, locked-screen presentation chosen for Hollowtide battles.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Dex Report 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Mathematical/Architectural Reality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Hollowtide Resolution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height of 14.5 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Reuses external intellectual property metrics; restricts bespoke morphological scaling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an original, distinctive height range tailored to the hollow kiln concept.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Implied mass of 2,450 tons.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Calculates an apparent density incompatible with a hollow, 22% solid-fraction basalt 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Recalculate working mass targeting approximately 1,150 tons to maintain gravitational credibility.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camera panning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Ignores the existing Godot implementation utilizing a fixed HUD and BattleStage offset transforms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the current FocusStage offset architecture and battle_size scaling variables.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duplication safeguards.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Misinterprets the established data layer where combat HP is natively isolated from base resources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Discard the external safeguard proposal; rely entirely on the native scripts/battle_screen.gd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Uniform length_m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Fails to account for drastic morphological variations (e.g., wingspan vs. rigid shell extent)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Segregate dimensional metrics by anatomical relevance, explicitly defining "shell extent" for this line.</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Biomechanical Feasibility and Distinctive Field Dimensions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distinctive dimensional range for Vitrecrag that avoids arbitrary external references, the creature must be analyzed through the lens of allometric scaling and material science. Sourced facts regarding the square-cube law dictate that as an organism increases in size, its volume and mass scale to the cube of the multiplier, while its surface area—and critically, the cross-sectional area of its load-bearing limbs—scales only to the square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geometric reality imposes strict limits on the anatomy of giant terrestrial arthropods. If an organism doubles in length isometrically, the surface area available for heat dissipation and structural support increases fourfold, while the mass it must support increases eightfold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original Hollowtide proposal for a distinctive and credible height range for Vitrecrag in the field is between 12.8 and 13.5 meters, with a longitudinal shell extent of 20.5 to 21.8 meters. These dimensions establish the creature as an undisputed giant—comparable to a four-story building or a sheer river cutbank—without encroaching upon the rejected 14.5-meter external metric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At these dimensions, assuming the aforementioned realistic mass of 1,150 tons, the creature must be supported entirely by the cross-sectional area of its exoskeleton legs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exoskeleton of Vitrecrag is conceptualized as a biological matrix of volcanic glass, basalt, and refractory ceramic. Sourced facts indicate that basalt exhibits a highly variable compressive strength ranging from 10.0 MPa to 100.6 MPa, with dense, fine-grained variations averaging around 53.2 MPa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Structural lightweight concrete and vitrified clay bricks generally exhibit compressive strengths between 35 MPa and 66 MPa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prevent catastrophic structural failure under its own immense weight, Vitrecrag cannot possess the spindly, articulated legs typical of smaller arthropods, which would shatter under the cubed scaling of its mass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Instead, visual-design inference dictates a graviportal stance characterized by six massive, columnar pillar legs directly aligned under the center of mass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distributing a 1,150-ton mass across six pillar legs, each limb must bear an average static load of approximately 191 tons, or roughly 1.87 meganewtons of force. To keep the compressive stress well below the 53.2 MPa average failure threshold of organic basalt, the cross-sectional area of each leg must be immense, likely exceeding two square meters at the thinnest articulation point. Furthermore, the ground pressure exerted on the soft terrain of the Hollowtide river basin must be minimized to prevent the creature from sinking catastrophically into the silt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the distal ends of the limbs must flare outward into broad, blunt contact pads, maximizing the footprint area. The synthesis of these structural limitations directly informs the visual design, mandating a complete departure from the dangling appendages seen in early placeholder iterations and enforcing a strictly architectural approach to the creature's lower anatomy.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Compressive Strength Range (MPa)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Strength (MPa)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Relevance to Vitrecrag Anatomy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Basalt (Dense/Fine-grained)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10.0 - 100.6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structural component of the load-bearing pillar legs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Granite (Plutonic)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12.7 - 87.2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reinforcing matrix for the carapace plating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Vitrified Clay / SLWC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35.0 - 66.0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Insulative refractory lining for the internal furnace lattice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Fantasy Ecology of the Lithotrophic Kiln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Grounding a creature of this magnitude requires an original Hollowtide proposal for a credible fantasy ecology that explains its existence within the game's specific universe. Vitrecrag does not exist merely as a static combatant; it is a profound geological and biological force within its habitat. The creature inhabits the expansive, dried river basins and deep cutbanks of the Hollowtide region, environments characterized by heavy silt, exposed bedrock, and historical flood memories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ecological proposal posits that Vitrecrag operates as a lithotrophic filter-feeder on a macroscopic scale. Its massive, forward-facing crest acts less as an offensive weapon and more as a specialized excavation tool, fracturing subterranean deposits of coal, silicate, and heavy metal ores. The creature ingests these raw materials into its internal furnace—a specialized, hypertrophied digestive chamber that functions as an extreme-temperature biological kiln. The internal lattice visible through its carapace windows is not merely aesthetic; visual-design inference suggests it is a network of refractory thermal vents that manage the immense heat generated by the exothermic breakdown of mineral compounds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ecology of the creature dictates its movement and behavior. With a mass exceeding a thousand tons, Vitrecrag moves with deliberate, tectonic slowness. Sourced facts regarding allometric scaling suggest that smaller animals have a faster "speed of life" due to rapid cellular metabolism and heat loss, while giant animals must possess highly efficient, slower metabolic rates to avoid lethal overheating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Thus, Vitrecrag's metabolic rate is likely highly regulated, consistent with the biological adaptations required to manage the thermal loads predicted by the square-cube law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Smaller creatures in the Hollowtide ecosystem likely utilize the lingering heat trails left in Vitrecrag’s wake for thermoregulation, while its massive footprints create localized depressions that become temporary vernal pools during the region's seasonal rains.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this ecological narrative explicitly eliminates the need for an external, cartoonish fire plume. The heat is internal, contained, and intensely pressurized. The external environment interacts with the creature through atmospheric distortion—convection ripples in the air immediately above its carapace—and the steady, rhythmic venting of superheated exhaust from its respiratory seams, rather than an overt, continuous flame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shifts the design from a fantastical monster to a grounded, biological locomotive, relying on implied thermal mass rather than explicit particle effects.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Cinderhide Standard and Same-Form Preservation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translation of this massive, ecologically grounded entity into a </w:t>
      </w:r>
      <w:r w:rsidDel="00000000" w:rsidR="00000000" w:rsidRPr="00000000">
        <w:rPr>
          <w:rFonts w:ascii="Google Sans" w:cs="Google Sans" w:eastAsia="Google Sans" w:hAnsi="Google Sans"/>
          <w:color w:val="1f1f1f"/>
        </w:rPr>
        <w:drawing>
          <wp:inline distB="19050" distT="19050" distL="19050" distR="19050">
            <wp:extent cx="827336" cy="237740"/>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7336" cy="237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logical-pixel sprite requires strict adherence to the project's established rendering standards. Sourced facts from the project documentation establish that the approved Cinderhide front sprite serves as the definitive benchmark for in-game creature finish, providing a masterclass in how to convey complex material properties without succumbing to visual noise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Cinderhide standard reveals several non-negotiable rendering principles. First, the sprite relies on highly coherent pixel clusters. Sourced facts from pixel art methodologies demonstrate that rather than utilizing single-pixel dithering to blend colors—which often results in a muddy, indistinct appearance at lower resolutions—high-quality sprites use solid, deliberate shapes of contiguous color to define volume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Second, it employs sophisticated material shading. Matte surfaces absorb light, while specialized accents are restrained, ensuring that the visual hierarchy remains intact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Third, the creature features a substantial, dark contour that sharply separates it from the background, ensuring immediate readability regardless of the battle stage's environmental palette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Finally, visual-design inference indicates that the design implies deep, planted mass; the creature feels undeniably connected to the ground plane, largely due to footprint occlusion and the absence of a baked-in floor shadow, which would otherwise conflict with dynamic engine lighting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this standard to Vitrecrag necessitates an original Hollowtide proposal to preserve its core identity while radically upgrading its execution. The current Vitrecrag sprite possesses a strong conceptual foundation: a low, forward-thrusting face, a prominent cranial crest, a stacked and heavily armored dark-plum shell, and an internal furnace lattice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right-facing silhouette successfully communicates a fortress-like immobility. However, the current iteration is excessively flat and suffers from poor grounding. Its legs appear thin and disconnected from the central mass, failing to visually support the implied weight, and the prominent external flame detracts from the scale, reading as a localized particle effect rather than a macroscopic biological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redesign must execute a same-form polish that strictly maintains the established identity while applying the Cinderhide level of finish. The shell must transition from flat bands of color into layered, volumetric planes of volcanic glass, complete with chipped edge clusters and variations in specular reflection to simulate a vitreous material. The internal lattice must recede into true shadow, allowing the furnace heat to glow through defined, structural windows rather than sitting flatly on the surface. The external fire plume must be entirely excised, replaced by subtle soot accumulations and copper-toned oxidation breaks around the vents, suggesting extreme thermal stress without requiring extra pixels for fire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Lineage Revision: Maturation from Slagglass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visual continuity across the three-stage evolutionary line, the preceding form, Slagglass, must be heavily revised to bridge the morphological gap between the embryonic Fusern and the colossal Vitrecrag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Sourced facts regarding the project's evolution mechanics indicate that evolution in Hollowtide is designed to preserve a line's visual skeleton while signaling a strategic change in role and capability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Currently, Slagglass lacks the necessary mass and material maturity to serve as a credible predecessor to a building-sized kiln arthropod.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revision of Slagglass, presented as an original Hollowtide proposal, must focus on the transition of the creature's locomotion and the hardening of its carapace. As Fusern represents a small, low-to-the-ground, intensely hot entity, Slagglass represents the cooling and expanding phase. Visual-design inference suggests the design must depict the semi-sprawled posture of a younger arthropod beginning to shift toward the rigid, columnar graviportal stance required by the square-cube law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legs must become darker, visibly jointed, and definitively planted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Materially, Slagglass should lack the refined, stacked perfection of Vitrecrag's mature dark-plum shell. Instead, its carapace should feature rough, asymmetrical accumulations of slag and pumice, suggesting a creature that is actively forging its own armor through the consumption of environmental silicates. The thermal vents should be wider and less controlled than Vitrecrag's precise lattice, indicating an adolescent inability to fully contain its internal exothermic reactions. By establishing this transitional material finish at the Cinderhide standard, Slagglass logically and inevitably visually matures into the heavily armored, structurally absolute form of Vitrecrag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Psychology: Eight Pixel-Art Scale Cues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Conveying the sheer magnitude of a 13.5-meter, 1,150-ton giant within a </w:t>
      </w:r>
      <w:r w:rsidDel="00000000" w:rsidR="00000000" w:rsidRPr="00000000">
        <w:rPr>
          <w:rFonts w:ascii="Google Sans" w:cs="Google Sans" w:eastAsia="Google Sans" w:hAnsi="Google Sans"/>
          <w:color w:val="1f1f1f"/>
        </w:rPr>
        <w:drawing>
          <wp:inline distB="19050" distT="19050" distL="19050" distR="19050">
            <wp:extent cx="827336" cy="237740"/>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7336" cy="237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logical-pixel square is an exercise in applied optical psychology. Because the total number of pixels is severely restricted, the artist cannot rely on absolute resolution to indicate size. Sourced facts from pixel art methodologies emphasize that scale must be communicated through specific, highly deliberate compositional cues that manipulate the viewer's perception of proportion, weight, and material thickness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following eight original Hollowtide proposals must be applied to Vitrecrag to guarantee a massive read without requiring additional pixel real estate or extraneous visual effects.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cue involves a radical reduction in the head-to-body ratio. In biological systems, sourced facts show that the size of sensory organs and the cranium scale at a much slower rate than total body mass due to allometric scaling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Visual-design inference dictates that by rendering Vitrecrag’s head and forward crest as relatively small components tucked tightly beneath the overarching sweep of the carapace, the human brain immediately interprets the remaining body mass as astronomically large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small head forces the viewer to scale the rest of the creature upward in their mind to compensate for the biological discrepancy.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cue requires the explicit definition of structural plating thickness. When rendering the overlapping segments of the dark-plum shell, exposing the cross-sectional thickness of the armor plates at the joints implies immense volumetric density. Thin, single-pixel lines suggest fragile, insectoid chitin; conversely, using three-to-four pixel clusters to define the depth of a single armor plate suggests industrial-grade blast shielding. This aligns with the Cinderhide standard of cohesive pixel clustering to communicate material properties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cue enforces strict columnar leg alignment. To obey the biomechanical dictates of the square-cube law, the six legs must drop straight down from the chassis, completely eliminating any lateral sprawl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joints should be subtle, heavily armored, and structurally stacked, mirroring the load-bearing pillars of a concrete bridge or a cathedral. This architectural alignment reinforces the visual narrative of immense gravitational load, communicating that the creature's limbs are optimized purely for compression resistance rather than agile articulation.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cue manipulates the distribution of highlights across the shell. Massive objects reflect light over broader, flatter surface areas. Highly specular, isolated single-pixel highlights suggest a small, shiny object, like a marble or a beetle. By utilizing broad, low-contrast gradients and restricting intense highlights strictly to the chipped, fractured edges of the volcanic glass, the surface reads as vast and sweeping. This technique prevents the sprite from looking like a miniature toy rendered at high resolution.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fifth cue emphasizes heavy footprint occlusion. A creature of this mass does not rest lightly upon the ground; it crushes it. Visual-design inference indicates that the lowest pixels of the feet should not terminate in neat, rounded points. Instead, they should be flat, blunt, and slightly occluded by localized ambient occlusion shadows and environmental contact lines, signaling that the creature has physically sunk into the terrain under its own extreme weight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grounds the sprite perfectly on the </w:t>
      </w:r>
      <w:r w:rsidDel="00000000" w:rsidR="00000000" w:rsidRPr="00000000">
        <w:rPr>
          <w:rFonts w:ascii="Google Sans" w:cs="Google Sans" w:eastAsia="Google Sans" w:hAnsi="Google Sans"/>
          <w:color w:val="1f1f1f"/>
        </w:rPr>
        <w:drawing>
          <wp:inline distB="19050" distT="19050" distL="19050" distR="19050">
            <wp:extent cx="827336" cy="237740"/>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7336" cy="237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grid without requiring an alpha-blended drop shadow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sixth cue utilizes forced atmospheric perspective within the internal furnace lattice. Within the dark recesses of the shell windows, the glowing core should not be rendered with sharp, high-contrast pixels. By utilizing slightly desaturated, lower-contrast orange and yellow clusters for the deepest internal structures, the design creates an optical illusion of volumetric depth, suggesting that the interior cavern of the creature extends deep into the sprite. This manipulation of contrast simulates atmospheric scattering inside the creature's hollow core.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seventh cue establishes a severely lowered center of gravity. The bulk of the creature's mass should hang low between the pillar legs. An elevated, top-heavy chassis reads as precarious and relatively light. A low-slung, heavily weighted underbelly grounds the silhouette, visually anchoring the entire composition to the bottom edge of the </w:t>
      </w:r>
      <w:r w:rsidDel="00000000" w:rsidR="00000000" w:rsidRPr="00000000">
        <w:rPr>
          <w:rFonts w:ascii="Google Sans" w:cs="Google Sans" w:eastAsia="Google Sans" w:hAnsi="Google Sans"/>
          <w:color w:val="1f1f1f"/>
        </w:rPr>
        <w:drawing>
          <wp:inline distB="19050" distT="19050" distL="19050" distR="19050">
            <wp:extent cx="827336" cy="237740"/>
            <wp:effectExtent b="0" l="0" r="0" t="0"/>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7336" cy="237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frame. This compositional choice reinforces the gravitational narrative demanded by the square-cube law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eighth and final cue relies on selective edge wear and localized textural decay. While the majority of the shell should feature solid, clean pixel clusters to maintain readability, the highest ridges and forward-facing plates should exhibit tiny, irregular chips and soot scoring. These micro-details provide the eye with a scale reference point; when a small cluster of damage is juxtaposed against a vast, unbroken plane of color, the overall surface is perceived as immense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Pixel-Art Scale Cue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on 100x100 Grid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Perceptual Effect on Viewer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Head-to-Body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Allocate &lt; 10% of canvas to cranial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 allometric assumptions; forces brain to scale the body upward.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Plating Thickness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3-4 pixel clusters for armor cross-sections.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Implies industrial density and immense physical weight.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Columnar Leg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 legs at 90-degree angles; no lateral sprawl.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Communicates pure compressive load-bearing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Highlight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low-contrast gradients; avoid single-pixel specs.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the "toy miniature" effect; implies vast surface area.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Footprint Occlusion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Flatten bottom pixels; use deep ambient occlusion.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Grounds the creature heavily into the implied terrain.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Atmospheric Perspective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Desaturate and lower contrast on internal furnace pixels.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Creates the illusion of deep volumetric internal space.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Lowered Center of Gravity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Suspend chassis mass low between the pillar legs.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Anchors the silhouette visually and gravitationally.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Selective Edge Wear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 noise to tiny chips on high-ridge boundaries.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micro-scale reference points against massive solid planes.</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Viewport Mathematics and Kinetic Perspective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success of Vitrecrag's scale depends on its presentation within the </w:t>
      </w:r>
      <w:r w:rsidDel="00000000" w:rsidR="00000000" w:rsidRPr="00000000">
        <w:rPr>
          <w:rFonts w:ascii="Google Sans" w:cs="Google Sans" w:eastAsia="Google Sans" w:hAnsi="Google Sans"/>
          <w:color w:val="1f1f1f"/>
        </w:rPr>
        <w:drawing>
          <wp:inline distB="19050" distT="19050" distL="19050" distR="19050">
            <wp:extent cx="925264" cy="238470"/>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925264" cy="2384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Godot viewport. The interaction between the </w:t>
      </w:r>
      <w:r w:rsidDel="00000000" w:rsidR="00000000" w:rsidRPr="00000000">
        <w:rPr>
          <w:rFonts w:ascii="Google Sans" w:cs="Google Sans" w:eastAsia="Google Sans" w:hAnsi="Google Sans"/>
          <w:color w:val="1f1f1f"/>
        </w:rPr>
        <w:drawing>
          <wp:inline distB="19050" distT="19050" distL="19050" distR="19050">
            <wp:extent cx="827336" cy="237740"/>
            <wp:effectExtent b="0" l="0" r="0" t="0"/>
            <wp:docPr id="1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7336" cy="237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 pixel sprite, the battle zoom, and the foe perspective scaling dictates the exact physical screen real estate the creature commands. Sourced facts from the Dex report assume that this engine environment requires aggressive, dynamic camera panning to function, a claim that fundamentally misinterprets the Hollowtide rendering pipeline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current Godot implementation, the BattleScreen utilizes a calculated zoom hierarchy to manage creature presentation. Sourced facts demonstrate that the base zoom for the battle screen is fixed at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ensures that the pixel art is drawn crisply utilizing nearest-neighbor filtering, preventing blurring artifacts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creature data resource for Vitrecrag explicitly sets battle_size = 1.75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opponents in the battle view are subjected to a foe_scale multiplier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push them deeper into the background compositionally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multiplying these variables (</w:t>
      </w:r>
      <w:r w:rsidDel="00000000" w:rsidR="00000000" w:rsidRPr="00000000">
        <w:rPr>
          <w:rFonts w:ascii="Google Sans" w:cs="Google Sans" w:eastAsia="Google Sans" w:hAnsi="Google Sans"/>
          <w:color w:val="1f1f1f"/>
        </w:rPr>
        <w:drawing>
          <wp:inline distB="19050" distT="19050" distL="19050" distR="19050">
            <wp:extent cx="1426216" cy="237703"/>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26216" cy="237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total scaling factor applied to the opponent Vitrecrag sprite equates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creature sprite occupies a bounding box of approximately </w:t>
      </w:r>
      <w:r w:rsidDel="00000000" w:rsidR="00000000" w:rsidRPr="00000000">
        <w:rPr>
          <w:rFonts w:ascii="Google Sans" w:cs="Google Sans" w:eastAsia="Google Sans" w:hAnsi="Google Sans"/>
          <w:color w:val="1f1f1f"/>
        </w:rPr>
        <w:drawing>
          <wp:inline distB="19050" distT="19050" distL="19050" distR="19050">
            <wp:extent cx="631478" cy="239196"/>
            <wp:effectExtent b="0" l="0" r="0" t="0"/>
            <wp:docPr id="2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31478" cy="239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logical pixels within its </w:t>
      </w:r>
      <w:r w:rsidDel="00000000" w:rsidR="00000000" w:rsidRPr="00000000">
        <w:rPr>
          <w:rFonts w:ascii="Google Sans" w:cs="Google Sans" w:eastAsia="Google Sans" w:hAnsi="Google Sans"/>
          <w:color w:val="1f1f1f"/>
        </w:rPr>
        <w:drawing>
          <wp:inline distB="19050" distT="19050" distL="19050" distR="19050">
            <wp:extent cx="827336" cy="237740"/>
            <wp:effectExtent b="0" l="0" r="0" t="0"/>
            <wp:docPr id="2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7336" cy="237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canvas, the rendered size on the screen equates to roughly </w:t>
      </w:r>
      <w:r w:rsidDel="00000000" w:rsidR="00000000" w:rsidRPr="00000000">
        <w:rPr>
          <w:rFonts w:ascii="Google Sans" w:cs="Google Sans" w:eastAsia="Google Sans" w:hAnsi="Google Sans"/>
          <w:color w:val="1f1f1f"/>
        </w:rPr>
        <w:drawing>
          <wp:inline distB="19050" distT="19050" distL="19050" distR="19050">
            <wp:extent cx="1132132" cy="237843"/>
            <wp:effectExtent b="0" l="0" r="0" t="0"/>
            <wp:docPr id="2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132132" cy="237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screen pixels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 vertical viewport of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2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pixels, a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2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-pixel tall object occupies precisely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2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absolute vertical screen height, and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2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horizontal width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screen occupancy is massive. It establishes Vitrecrag as a dominating, monolithic presence on the upper right side of the BattleStage, visually dwarfing the player's partner creature situated in the foreground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fixed HUD overlays—the Main HUD styling, the continuous Turbo Green HP bars, and the action menus—are layered on a separate CanvasLayer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 FocusStage Node2D handles subtle offset shifts during attacks, the stage can tremble under Vitrecrag's weight without requiring the camera to actively pan away from the UI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mathematical calculations cannot substitute for in-game optical validation. Several specific perspective and motion assumptions demand live evaluation within the running Godot client. The most critical variable requiring live testing is the idle_breath squash-and-stretch animation. The Dex report proposes an idle_breath value of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2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live engine value is currently set to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 sprite occupying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screen applies a </w:t>
      </w:r>
      <w:r w:rsidDel="00000000" w:rsidR="00000000" w:rsidRPr="00000000">
        <w:rPr>
          <w:rFonts w:ascii="Google Sans" w:cs="Google Sans" w:eastAsia="Google Sans" w:hAnsi="Google Sans"/>
          <w:color w:val="1f1f1f"/>
        </w:rPr>
        <w:drawing>
          <wp:inline distB="19050" distT="19050" distL="19050" distR="19050">
            <wp:extent cx="413742" cy="240548"/>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13742" cy="240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vertical squash over a prolonged period, visual-design inference suggests the pixel deformation can easily cause the creature's feet to appear as though they are sliding or lifting off the background ground plane. The code-driven breathing relies on anchoring the scale to the bottom of the texture, but the immense horizontal width of the pillar legs may still exhibit unintended lateral shifting during the stretch phase due to the non-integer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scaling multiplier.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interaction between the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foe_scale and the specific river-landing backdrop (river_landing_battle.svg) must be visually verified. Sourced facts indicate the background is drawn at an exact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Vitrecrag is scaled at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pixel density is slightly misaligned with the background's strict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grid. While nearest-neighbor filtering mitigates severe blurring, the fractional difference could cause sub-pixel shimmering during the FocusStage offset shakes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Only by triggering a live encounter and observing the creature in motion against the specific cutbank, retaining stone, and water features of the backdrop can the artist confirm whether the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battle_size successfully integrates the giant into the environment, or if it causes the sprite to uncomfortably crowd the HUD message frame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raw numerical setup is theoretically sound, but the kinetic reality of the pixels in motion remains the ultimate arbiter of success.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Art Brief and Dex Reconciliation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this research directly informs the practical execution of the sprite and the reconciliation of conflicting documentation. The generation of a new Vitrecrag sprite relies on the successful translation of biomechanical theory and optical psychology into a strict text prompt utilized by the Hollowtide Sprite Forge. The art brief presented below encapsulates the visual-design inferences and original Hollowtide proposals necessary to achieve the desired result, serving as the definitive directive for the next generation cycle.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Hollowtide Sprite Forge Execution Brief</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Generation Entity:</w:t>
      </w:r>
      <w:r w:rsidDel="00000000" w:rsidR="00000000" w:rsidRPr="00000000">
        <w:rPr>
          <w:rFonts w:ascii="Google Sans" w:cs="Google Sans" w:eastAsia="Google Sans" w:hAnsi="Google Sans"/>
          <w:color w:val="1f1f1f"/>
          <w:rtl w:val="0"/>
        </w:rPr>
        <w:t xml:space="preserve"> Vitrecrag (Stage III, Ember Essence)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Operational Mode:</w:t>
      </w:r>
      <w:r w:rsidDel="00000000" w:rsidR="00000000" w:rsidRPr="00000000">
        <w:rPr>
          <w:rFonts w:ascii="Google Sans" w:cs="Google Sans" w:eastAsia="Google Sans" w:hAnsi="Google Sans"/>
          <w:color w:val="1f1f1f"/>
          <w:rtl w:val="0"/>
        </w:rPr>
        <w:t xml:space="preserve"> Same-Form Redraw (TASK: REDRAW)</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Inputs Required:</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Previous Stage Sprite:</w:t>
      </w:r>
      <w:r w:rsidDel="00000000" w:rsidR="00000000" w:rsidRPr="00000000">
        <w:rPr>
          <w:rFonts w:ascii="Google Sans" w:cs="Google Sans" w:eastAsia="Google Sans" w:hAnsi="Google Sans"/>
          <w:color w:val="1f1f1f"/>
          <w:rtl w:val="0"/>
        </w:rPr>
        <w:t xml:space="preserve"> Current Vitrecrag front PNG (preserves identity and right-facing silhouette).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Style Anchor:</w:t>
      </w:r>
      <w:r w:rsidDel="00000000" w:rsidR="00000000" w:rsidRPr="00000000">
        <w:rPr>
          <w:rFonts w:ascii="Google Sans" w:cs="Google Sans" w:eastAsia="Google Sans" w:hAnsi="Google Sans"/>
          <w:color w:val="1f1f1f"/>
          <w:rtl w:val="0"/>
        </w:rPr>
        <w:t xml:space="preserve"> Approved Cinderhide front PNG (transfers material finish, dark contours, and clustering logic).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Conceptual Identity:</w:t>
      </w:r>
      <w:r w:rsidDel="00000000" w:rsidR="00000000" w:rsidRPr="00000000">
        <w:rPr>
          <w:rFonts w:ascii="Google Sans" w:cs="Google Sans" w:eastAsia="Google Sans" w:hAnsi="Google Sans"/>
          <w:color w:val="1f1f1f"/>
          <w:rtl w:val="0"/>
        </w:rPr>
        <w:t xml:space="preserve"> A colossal, 1,150-ton lithotrophic kiln arthropod. Slow, heavily armored, and radiating contained internal heat. The design must not fundamentally redesign the creature; it must preserve its right-facing silhouette, forward crest, and stacked shell geometry while radically increasing perceived mass.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Execution Directives (100x100 Logical Grid):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must execute a radical reduction in the head-to-body proportion, tucking cranial features deeply under the carapace. The stance must be widened to feature six massive, strictly vertical pillar legs, applying heavy footprint occlusion so the creature sinks visually into the ground, bearing immense gravitational load. Following the Cinderhide standard, the carapace must be rendered as thick, layered planes of dark-plum volcanic glass, utilizing solid, coherent pixel clusters without noisy dithering. Specular highlights must be limited to the sharply fractured, chipped edges of the armor plates to convey vast surface area. Shadows inside the internal lattice must be deepened to force perspective, ensuring the glowing core reads as deep within the shell. The artist must explicitly restrict any external fire plumes, floating particle effects, or crystal sparkles. All thin, dangling, or articulated limb segments must be removed, and no drop shadow may be baked into the transparent background.</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Reconciliation of Overstated Dex Claims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conclude the audit process, the following table explicitly segregates the overstated claims of the Complete Creature Dex Generation report from the authorized, scientifically grounded Hollowtide implementations developed throughout this analysis.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Dex Report Assertion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 Physical Reality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Authorized Hollowtide Implementation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Dimensions:</w:t>
            </w:r>
            <w:r w:rsidDel="00000000" w:rsidR="00000000" w:rsidRPr="00000000">
              <w:rPr>
                <w:rFonts w:ascii="Google Sans" w:cs="Google Sans" w:eastAsia="Google Sans" w:hAnsi="Google Sans"/>
                <w:color w:val="1f1f1f"/>
                <w:rtl w:val="0"/>
              </w:rPr>
              <w:t xml:space="preserve"> Height 14.5m exactly.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Uncritically copies Wailord's metrics, restricting bespoke morphological development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independent field parameters: 12.8–13.5m height, 20.5–21.8m shell extent.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Mass:</w:t>
            </w:r>
            <w:r w:rsidDel="00000000" w:rsidR="00000000" w:rsidRPr="00000000">
              <w:rPr>
                <w:rFonts w:ascii="Google Sans" w:cs="Google Sans" w:eastAsia="Google Sans" w:hAnsi="Google Sans"/>
                <w:color w:val="1f1f1f"/>
                <w:rtl w:val="0"/>
              </w:rPr>
              <w:t xml:space="preserve"> 2,450 tons.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 math. Implies a solid block of rock; contradicts the hollow furnace architecture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Recalculate based on a 22% solid fraction of basalt/refractory clay, yielding a credible ~1,150 tons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Camera:</w:t>
            </w:r>
            <w:r w:rsidDel="00000000" w:rsidR="00000000" w:rsidRPr="00000000">
              <w:rPr>
                <w:rFonts w:ascii="Google Sans" w:cs="Google Sans" w:eastAsia="Google Sans" w:hAnsi="Google Sans"/>
                <w:color w:val="1f1f1f"/>
                <w:rtl w:val="0"/>
              </w:rPr>
              <w:t xml:space="preserve"> Dynamic panning necessary.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Contradicts the established FocusStage offset architecture and fixed UI layers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 current 1152x648 fixed composition; use precise battle_size and foe_scale for visual hierarchy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w:t>
            </w:r>
            <w:r w:rsidDel="00000000" w:rsidR="00000000" w:rsidRPr="00000000">
              <w:rPr>
                <w:rFonts w:ascii="Google Sans" w:cs="Google Sans" w:eastAsia="Google Sans" w:hAnsi="Google Sans"/>
                <w:color w:val="1f1f1f"/>
                <w:rtl w:val="0"/>
              </w:rPr>
              <w:t xml:space="preserve"> Duplication safeguards needed.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Misunderstands the GDScript implementation where combat variables are already distinct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Discard recommendation; maintain the current CreatureData and scripts/battle_screen.gd handling.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Universal length_m stat.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Fails to accommodate diverse anatomical layouts across the 60 intended forms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context-specific descriptors (e.g., shell extent) tailored to individual line morphologies.</w:t>
            </w:r>
          </w:p>
        </w:tc>
      </w:tr>
    </w:tbl>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AI_COLLABORATION.md</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battle-camera-brief.md</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art-direction.md</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creature-scale-research-adoption.md</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of the following has the maximum compressive strength?, </w:t>
      </w:r>
      <w:hyperlink r:id="rId26">
        <w:r w:rsidDel="00000000" w:rsidR="00000000" w:rsidRPr="00000000">
          <w:rPr>
            <w:rFonts w:ascii="Google Sans" w:cs="Google Sans" w:eastAsia="Google Sans" w:hAnsi="Google Sans"/>
            <w:color w:val="0000ee"/>
            <w:sz w:val="24"/>
            <w:szCs w:val="24"/>
            <w:u w:val="single"/>
            <w:rtl w:val="0"/>
          </w:rPr>
          <w:t xml:space="preserve">https://testbook.com/question-answer/which-of-the-following-has-the-maximum-compressive--61d3f8ec5ee363e73b7244cd</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Lightweight Concrete Containing Basalt Stone Powder, </w:t>
      </w:r>
      <w:hyperlink r:id="rId27">
        <w:r w:rsidDel="00000000" w:rsidR="00000000" w:rsidRPr="00000000">
          <w:rPr>
            <w:rFonts w:ascii="Google Sans" w:cs="Google Sans" w:eastAsia="Google Sans" w:hAnsi="Google Sans"/>
            <w:color w:val="0000ee"/>
            <w:sz w:val="24"/>
            <w:szCs w:val="24"/>
            <w:u w:val="single"/>
            <w:rtl w:val="0"/>
          </w:rPr>
          <w:t xml:space="preserve">https://www.mdpi.com/2075-5309/14/7/1904</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Square Cube Law Impacts Biomechanics - Fact or Myth?, </w:t>
      </w:r>
      <w:hyperlink r:id="rId28">
        <w:r w:rsidDel="00000000" w:rsidR="00000000" w:rsidRPr="00000000">
          <w:rPr>
            <w:rFonts w:ascii="Google Sans" w:cs="Google Sans" w:eastAsia="Google Sans" w:hAnsi="Google Sans"/>
            <w:color w:val="0000ee"/>
            <w:sz w:val="24"/>
            <w:szCs w:val="24"/>
            <w:u w:val="single"/>
            <w:rtl w:val="0"/>
          </w:rPr>
          <w:t xml:space="preserve">http://factmyth.com/factoids/the-square-cube-law-impacts-biomechanics/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Square-Cube Law Explained (Why Kids Are Better At Monkey Bars, </w:t>
      </w:r>
      <w:hyperlink r:id="rId29">
        <w:r w:rsidDel="00000000" w:rsidR="00000000" w:rsidRPr="00000000">
          <w:rPr>
            <w:rFonts w:ascii="Google Sans" w:cs="Google Sans" w:eastAsia="Google Sans" w:hAnsi="Google Sans"/>
            <w:color w:val="0000ee"/>
            <w:sz w:val="24"/>
            <w:szCs w:val="24"/>
            <w:u w:val="single"/>
            <w:rtl w:val="0"/>
          </w:rPr>
          <w:t xml:space="preserve">https://www.youtube.com/watch?v=JkPlgXquByk</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Square–cube law - Wikipedia, </w:t>
      </w:r>
      <w:hyperlink r:id="rId30">
        <w:r w:rsidDel="00000000" w:rsidR="00000000" w:rsidRPr="00000000">
          <w:rPr>
            <w:rFonts w:ascii="Google Sans" w:cs="Google Sans" w:eastAsia="Google Sans" w:hAnsi="Google Sans"/>
            <w:color w:val="0000ee"/>
            <w:sz w:val="24"/>
            <w:szCs w:val="24"/>
            <w:u w:val="single"/>
            <w:rtl w:val="0"/>
          </w:rPr>
          <w:t xml:space="preserve">https://en.wikipedia.org/wiki/Square%E2%80%93cube_law</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the square cube law in biology : r/explainlikeimfive - Reddit, </w:t>
      </w:r>
      <w:hyperlink r:id="rId31">
        <w:r w:rsidDel="00000000" w:rsidR="00000000" w:rsidRPr="00000000">
          <w:rPr>
            <w:rFonts w:ascii="Google Sans" w:cs="Google Sans" w:eastAsia="Google Sans" w:hAnsi="Google Sans"/>
            <w:color w:val="0000ee"/>
            <w:sz w:val="24"/>
            <w:szCs w:val="24"/>
            <w:u w:val="single"/>
            <w:rtl w:val="0"/>
          </w:rPr>
          <w:t xml:space="preserve">https://www.reddit.com/r/explainlikeimfive/comments/1fn2hiu/eli5_the_square_cube_law_in_biology/</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Compressive strength of granite and basalt - ResearchGate, </w:t>
      </w:r>
      <w:hyperlink r:id="rId32">
        <w:r w:rsidDel="00000000" w:rsidR="00000000" w:rsidRPr="00000000">
          <w:rPr>
            <w:rFonts w:ascii="Google Sans" w:cs="Google Sans" w:eastAsia="Google Sans" w:hAnsi="Google Sans"/>
            <w:color w:val="0000ee"/>
            <w:sz w:val="24"/>
            <w:szCs w:val="24"/>
            <w:u w:val="single"/>
            <w:rtl w:val="0"/>
          </w:rPr>
          <w:t xml:space="preserve">https://www.researchgate.net/figure/Compressive-strength-of-granite-and-basalt_tbl2_377287487</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the Compressive Strength of Ancient Clay Bricks Using,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https://www.researchgate.net/publication/254690276_Evaluation_of_the_Compressive_Strength_of_Ancient_Clay_Bricks_Using_Microdrilling</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Compressive strength of extuded unfired clay masonry units,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https://www.researchgate.net/publication/250073320_Compressive_strength_of_extuded_unfired_clay_masonry_units</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Galileo's Square-Cube Law - DinosaurTheory, </w:t>
      </w:r>
      <w:hyperlink r:id="rId35">
        <w:r w:rsidDel="00000000" w:rsidR="00000000" w:rsidRPr="00000000">
          <w:rPr>
            <w:rFonts w:ascii="Google Sans" w:cs="Google Sans" w:eastAsia="Google Sans" w:hAnsi="Google Sans"/>
            <w:color w:val="0000ee"/>
            <w:sz w:val="24"/>
            <w:szCs w:val="24"/>
            <w:u w:val="single"/>
            <w:rtl w:val="0"/>
          </w:rPr>
          <w:t xml:space="preserve">https://www.dinosaurtheory.com/scaling.html</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Techniques: Six different approaches - Mystic's Cave, </w:t>
      </w:r>
      <w:hyperlink r:id="rId36">
        <w:r w:rsidDel="00000000" w:rsidR="00000000" w:rsidRPr="00000000">
          <w:rPr>
            <w:rFonts w:ascii="Google Sans" w:cs="Google Sans" w:eastAsia="Google Sans" w:hAnsi="Google Sans"/>
            <w:color w:val="0000ee"/>
            <w:sz w:val="24"/>
            <w:szCs w:val="24"/>
            <w:u w:val="single"/>
            <w:rtl w:val="0"/>
          </w:rPr>
          <w:t xml:space="preserve">https://mysticscave.neocities.org/gamedev/pixeltechniques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TUTORIAL: BASICS - Derek Yu, </w:t>
      </w:r>
      <w:hyperlink r:id="rId37">
        <w:r w:rsidDel="00000000" w:rsidR="00000000" w:rsidRPr="00000000">
          <w:rPr>
            <w:rFonts w:ascii="Google Sans" w:cs="Google Sans" w:eastAsia="Google Sans" w:hAnsi="Google Sans"/>
            <w:color w:val="0000ee"/>
            <w:sz w:val="24"/>
            <w:szCs w:val="24"/>
            <w:u w:val="single"/>
            <w:rtl w:val="0"/>
          </w:rPr>
          <w:t xml:space="preserve">https://www.derekyu.com/makegames/pixelart.html</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4.4.1 Camera2D Tutorial: Smooth Follow, Zoom ... - YouTube, </w:t>
      </w:r>
      <w:hyperlink r:id="rId38">
        <w:r w:rsidDel="00000000" w:rsidR="00000000" w:rsidRPr="00000000">
          <w:rPr>
            <w:rFonts w:ascii="Google Sans" w:cs="Google Sans" w:eastAsia="Google Sans" w:hAnsi="Google Sans"/>
            <w:color w:val="0000ee"/>
            <w:sz w:val="24"/>
            <w:szCs w:val="24"/>
            <w:u w:val="single"/>
            <w:rtl w:val="0"/>
          </w:rPr>
          <w:t xml:space="preserve">https://www.youtube.com/watch?v=9j7I_mEm49I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testbook.com/question-answer/which-of-the-following-has-the-maximum-compressive--61d3f8ec5ee363e73b7244cd" TargetMode="External"/><Relationship Id="rId25" Type="http://schemas.openxmlformats.org/officeDocument/2006/relationships/hyperlink" Target="http://docs.google.com/unknown_url" TargetMode="External"/><Relationship Id="rId28" Type="http://schemas.openxmlformats.org/officeDocument/2006/relationships/hyperlink" Target="http://factmyth.com/factoids/the-square-cube-law-impacts-biomechanics/" TargetMode="External"/><Relationship Id="rId27" Type="http://schemas.openxmlformats.org/officeDocument/2006/relationships/hyperlink" Target="https://www.mdpi.com/2075-5309/14/7/1904"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youtube.com/watch?v=JkPlgXquByk" TargetMode="External"/><Relationship Id="rId7" Type="http://schemas.openxmlformats.org/officeDocument/2006/relationships/image" Target="media/image7.png"/><Relationship Id="rId8" Type="http://schemas.openxmlformats.org/officeDocument/2006/relationships/image" Target="media/image18.png"/><Relationship Id="rId31" Type="http://schemas.openxmlformats.org/officeDocument/2006/relationships/hyperlink" Target="https://www.reddit.com/r/explainlikeimfive/comments/1fn2hiu/eli5_the_square_cube_law_in_biology/" TargetMode="External"/><Relationship Id="rId30" Type="http://schemas.openxmlformats.org/officeDocument/2006/relationships/hyperlink" Target="https://en.wikipedia.org/wiki/Square%E2%80%93cube_law" TargetMode="External"/><Relationship Id="rId11" Type="http://schemas.openxmlformats.org/officeDocument/2006/relationships/image" Target="media/image14.png"/><Relationship Id="rId33" Type="http://schemas.openxmlformats.org/officeDocument/2006/relationships/hyperlink" Target="https://www.researchgate.net/publication/254690276_Evaluation_of_the_Compressive_Strength_of_Ancient_Clay_Bricks_Using_Microdrilling" TargetMode="External"/><Relationship Id="rId10" Type="http://schemas.openxmlformats.org/officeDocument/2006/relationships/image" Target="media/image8.png"/><Relationship Id="rId32" Type="http://schemas.openxmlformats.org/officeDocument/2006/relationships/hyperlink" Target="https://www.researchgate.net/figure/Compressive-strength-of-granite-and-basalt_tbl2_377287487" TargetMode="External"/><Relationship Id="rId13" Type="http://schemas.openxmlformats.org/officeDocument/2006/relationships/image" Target="media/image15.png"/><Relationship Id="rId35" Type="http://schemas.openxmlformats.org/officeDocument/2006/relationships/hyperlink" Target="https://www.dinosaurtheory.com/scaling.html" TargetMode="External"/><Relationship Id="rId12" Type="http://schemas.openxmlformats.org/officeDocument/2006/relationships/image" Target="media/image12.png"/><Relationship Id="rId34" Type="http://schemas.openxmlformats.org/officeDocument/2006/relationships/hyperlink" Target="https://www.researchgate.net/publication/250073320_Compressive_strength_of_extuded_unfired_clay_masonry_units" TargetMode="External"/><Relationship Id="rId15" Type="http://schemas.openxmlformats.org/officeDocument/2006/relationships/image" Target="media/image16.png"/><Relationship Id="rId37" Type="http://schemas.openxmlformats.org/officeDocument/2006/relationships/hyperlink" Target="https://www.derekyu.com/makegames/pixelart.html" TargetMode="External"/><Relationship Id="rId14" Type="http://schemas.openxmlformats.org/officeDocument/2006/relationships/image" Target="media/image9.png"/><Relationship Id="rId36" Type="http://schemas.openxmlformats.org/officeDocument/2006/relationships/hyperlink" Target="https://mysticscave.neocities.org/gamedev/pixeltechniques" TargetMode="External"/><Relationship Id="rId17" Type="http://schemas.openxmlformats.org/officeDocument/2006/relationships/image" Target="media/image17.png"/><Relationship Id="rId16" Type="http://schemas.openxmlformats.org/officeDocument/2006/relationships/image" Target="media/image10.png"/><Relationship Id="rId38" Type="http://schemas.openxmlformats.org/officeDocument/2006/relationships/hyperlink" Target="https://www.youtube.com/watch?v=9j7I_mEm49I" TargetMode="External"/><Relationship Id="rId19" Type="http://schemas.openxmlformats.org/officeDocument/2006/relationships/image" Target="media/image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