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66F1A" w14:textId="0E1AE54A" w:rsidR="00C317F4" w:rsidRDefault="0000218C" w:rsidP="0000218C">
      <w:pPr>
        <w:pStyle w:val="NoSpacing"/>
        <w:rPr>
          <w:rFonts w:ascii="Times New Roman" w:hAnsi="Times New Roman" w:cs="Times New Roman"/>
        </w:rPr>
      </w:pPr>
      <w:r w:rsidRPr="0000218C">
        <w:rPr>
          <w:rFonts w:ascii="Times New Roman" w:hAnsi="Times New Roman" w:cs="Times New Roman"/>
        </w:rPr>
        <w:t>Revised operational strategy</w:t>
      </w:r>
      <w:r w:rsidR="00836768">
        <w:rPr>
          <w:rFonts w:ascii="Times New Roman" w:hAnsi="Times New Roman" w:cs="Times New Roman"/>
        </w:rPr>
        <w:t xml:space="preserve"> </w:t>
      </w:r>
      <w:r w:rsidR="006740C2">
        <w:rPr>
          <w:rFonts w:ascii="Times New Roman" w:hAnsi="Times New Roman" w:cs="Times New Roman"/>
        </w:rPr>
        <w:t>[Updated 1/12/2026]</w:t>
      </w:r>
    </w:p>
    <w:p w14:paraId="1D2B1874" w14:textId="1955CD52" w:rsidR="00762202" w:rsidRDefault="00762202" w:rsidP="0000218C">
      <w:pPr>
        <w:pStyle w:val="NoSpacing"/>
        <w:rPr>
          <w:rFonts w:ascii="Times New Roman" w:hAnsi="Times New Roman" w:cs="Times New Roman"/>
        </w:rPr>
      </w:pPr>
    </w:p>
    <w:p w14:paraId="0BB27897" w14:textId="79320D70" w:rsidR="00762202" w:rsidRDefault="00762202" w:rsidP="0000218C">
      <w:pPr>
        <w:pStyle w:val="NoSpacing"/>
        <w:rPr>
          <w:rFonts w:ascii="Times New Roman" w:hAnsi="Times New Roman" w:cs="Times New Roman"/>
        </w:rPr>
      </w:pPr>
    </w:p>
    <w:p w14:paraId="06DE7FEB" w14:textId="238716EE" w:rsidR="0000218C" w:rsidRDefault="00762202" w:rsidP="0000218C">
      <w:pPr>
        <w:pStyle w:val="NoSpacing"/>
        <w:rPr>
          <w:rFonts w:ascii="Times New Roman" w:hAnsi="Times New Roman" w:cs="Times New Roman"/>
        </w:rPr>
      </w:pPr>
      <w:r>
        <w:rPr>
          <w:rFonts w:ascii="Times New Roman" w:hAnsi="Times New Roman" w:cs="Times New Roman"/>
        </w:rPr>
        <w:tab/>
        <w:t>V-Dem provides a</w:t>
      </w:r>
      <w:r w:rsidR="00134A5B">
        <w:rPr>
          <w:rFonts w:ascii="Times New Roman" w:hAnsi="Times New Roman" w:cs="Times New Roman"/>
        </w:rPr>
        <w:t xml:space="preserve"> summary</w:t>
      </w:r>
      <w:r>
        <w:rPr>
          <w:rFonts w:ascii="Times New Roman" w:hAnsi="Times New Roman" w:cs="Times New Roman"/>
        </w:rPr>
        <w:t xml:space="preserve"> measure of how free and fair elections are, on average, at the subnational level (</w:t>
      </w:r>
      <w:r w:rsidRPr="00762202">
        <w:rPr>
          <w:rFonts w:ascii="Times New Roman" w:hAnsi="Times New Roman" w:cs="Times New Roman"/>
        </w:rPr>
        <w:t>v2elffelr</w:t>
      </w:r>
      <w:r>
        <w:rPr>
          <w:rFonts w:ascii="Times New Roman" w:hAnsi="Times New Roman" w:cs="Times New Roman"/>
        </w:rPr>
        <w:t xml:space="preserve">), which is on the same scale, with the same category definitions, as </w:t>
      </w:r>
      <w:r w:rsidRPr="00762202">
        <w:rPr>
          <w:rFonts w:ascii="Times New Roman" w:hAnsi="Times New Roman" w:cs="Times New Roman"/>
          <w:i/>
          <w:iCs/>
        </w:rPr>
        <w:t>Elections free and fair</w:t>
      </w:r>
      <w:r>
        <w:rPr>
          <w:rFonts w:ascii="Times New Roman" w:hAnsi="Times New Roman" w:cs="Times New Roman"/>
        </w:rPr>
        <w:t xml:space="preserve"> at the national level (v2elfrfair). </w:t>
      </w:r>
      <w:r w:rsidR="00134A5B">
        <w:rPr>
          <w:rFonts w:ascii="Times New Roman" w:hAnsi="Times New Roman" w:cs="Times New Roman"/>
        </w:rPr>
        <w:t xml:space="preserve">The summary subnational measure is not actually an average of ratings of subnational units, as such ratings do not exist. Rather, it is, in effect, a summary of expert judgments of what such an average would be if such ratings did exist. </w:t>
      </w:r>
      <w:r>
        <w:rPr>
          <w:rFonts w:ascii="Times New Roman" w:hAnsi="Times New Roman" w:cs="Times New Roman"/>
        </w:rPr>
        <w:t>The</w:t>
      </w:r>
      <w:r w:rsidR="00134A5B">
        <w:rPr>
          <w:rFonts w:ascii="Times New Roman" w:hAnsi="Times New Roman" w:cs="Times New Roman"/>
        </w:rPr>
        <w:t xml:space="preserve"> national and subnational</w:t>
      </w:r>
      <w:r>
        <w:rPr>
          <w:rFonts w:ascii="Times New Roman" w:hAnsi="Times New Roman" w:cs="Times New Roman"/>
        </w:rPr>
        <w:t xml:space="preserve"> measures tend to be correlated but are still somewhat independent of each other</w:t>
      </w:r>
      <w:r w:rsidR="00221C6C">
        <w:rPr>
          <w:rFonts w:ascii="Times New Roman" w:hAnsi="Times New Roman" w:cs="Times New Roman"/>
        </w:rPr>
        <w:t xml:space="preserve">. (Figure 1 compares them for Colombia since 1900: national in blue, subnational in red.) </w:t>
      </w:r>
    </w:p>
    <w:p w14:paraId="029B31A8" w14:textId="103A8424" w:rsidR="00221C6C" w:rsidRDefault="00221C6C" w:rsidP="0000218C">
      <w:pPr>
        <w:pStyle w:val="NoSpacing"/>
        <w:rPr>
          <w:rFonts w:ascii="Times New Roman" w:hAnsi="Times New Roman" w:cs="Times New Roman"/>
        </w:rPr>
      </w:pPr>
      <w:r>
        <w:rPr>
          <w:rFonts w:ascii="Times New Roman" w:hAnsi="Times New Roman" w:cs="Times New Roman"/>
          <w:noProof/>
        </w:rPr>
        <w:drawing>
          <wp:inline distT="0" distB="0" distL="0" distR="0" wp14:anchorId="2FEC15B2" wp14:editId="0F09257C">
            <wp:extent cx="5925820" cy="35547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25820" cy="3554730"/>
                    </a:xfrm>
                    <a:prstGeom prst="rect">
                      <a:avLst/>
                    </a:prstGeom>
                  </pic:spPr>
                </pic:pic>
              </a:graphicData>
            </a:graphic>
          </wp:inline>
        </w:drawing>
      </w:r>
    </w:p>
    <w:p w14:paraId="44882D25" w14:textId="73F2E343" w:rsidR="00221C6C" w:rsidRDefault="00221C6C" w:rsidP="0000218C">
      <w:pPr>
        <w:pStyle w:val="NoSpacing"/>
        <w:rPr>
          <w:rFonts w:ascii="Times New Roman" w:hAnsi="Times New Roman" w:cs="Times New Roman"/>
        </w:rPr>
      </w:pPr>
    </w:p>
    <w:p w14:paraId="01108EEF" w14:textId="0B001013" w:rsidR="004D73BB" w:rsidRDefault="004D73BB" w:rsidP="004D73BB">
      <w:pPr>
        <w:pStyle w:val="NoSpacing"/>
        <w:rPr>
          <w:rFonts w:ascii="Times New Roman" w:hAnsi="Times New Roman" w:cs="Times New Roman"/>
        </w:rPr>
      </w:pPr>
      <w:r>
        <w:rPr>
          <w:rFonts w:ascii="Times New Roman" w:hAnsi="Times New Roman" w:cs="Times New Roman"/>
        </w:rPr>
        <w:t>Figure 1: National and subnational electoral unevenness</w:t>
      </w:r>
    </w:p>
    <w:p w14:paraId="1C755809" w14:textId="77777777" w:rsidR="004D73BB" w:rsidRDefault="004D73BB" w:rsidP="004D73BB">
      <w:pPr>
        <w:pStyle w:val="NoSpacing"/>
        <w:rPr>
          <w:rFonts w:ascii="Times New Roman" w:hAnsi="Times New Roman" w:cs="Times New Roman"/>
        </w:rPr>
      </w:pPr>
    </w:p>
    <w:p w14:paraId="7DD37C47" w14:textId="7A6DC6B8" w:rsidR="004C64CA" w:rsidRDefault="00221C6C" w:rsidP="00221C6C">
      <w:pPr>
        <w:pStyle w:val="NoSpacing"/>
        <w:ind w:firstLine="720"/>
        <w:rPr>
          <w:rFonts w:ascii="Times New Roman" w:hAnsi="Times New Roman" w:cs="Times New Roman"/>
        </w:rPr>
      </w:pPr>
      <w:r>
        <w:rPr>
          <w:rFonts w:ascii="Times New Roman" w:hAnsi="Times New Roman" w:cs="Times New Roman"/>
        </w:rPr>
        <w:t xml:space="preserve">We conceive of free and fair elections at the municipal level as a set of deviations centered around this summary subnational measure. In order to </w:t>
      </w:r>
      <w:r w:rsidR="006740C2">
        <w:rPr>
          <w:rFonts w:ascii="Times New Roman" w:hAnsi="Times New Roman" w:cs="Times New Roman"/>
        </w:rPr>
        <w:t>benchmark</w:t>
      </w:r>
      <w:r>
        <w:rPr>
          <w:rFonts w:ascii="Times New Roman" w:hAnsi="Times New Roman" w:cs="Times New Roman"/>
        </w:rPr>
        <w:t xml:space="preserve"> the many municipal-level values, we need to determine (a) the </w:t>
      </w:r>
      <w:r w:rsidR="00120920">
        <w:rPr>
          <w:rFonts w:ascii="Times New Roman" w:hAnsi="Times New Roman" w:cs="Times New Roman"/>
        </w:rPr>
        <w:t xml:space="preserve">maximum </w:t>
      </w:r>
      <w:r>
        <w:rPr>
          <w:rFonts w:ascii="Times New Roman" w:hAnsi="Times New Roman" w:cs="Times New Roman"/>
        </w:rPr>
        <w:t>range of variation around the summary measure</w:t>
      </w:r>
      <w:r w:rsidR="00134A5B">
        <w:rPr>
          <w:rFonts w:ascii="Times New Roman" w:hAnsi="Times New Roman" w:cs="Times New Roman"/>
        </w:rPr>
        <w:t xml:space="preserve"> in the entire country in a given year</w:t>
      </w:r>
      <w:r>
        <w:rPr>
          <w:rFonts w:ascii="Times New Roman" w:hAnsi="Times New Roman" w:cs="Times New Roman"/>
        </w:rPr>
        <w:t xml:space="preserve"> and (b) how high or low each municipality is within that range. </w:t>
      </w:r>
    </w:p>
    <w:p w14:paraId="66B8F9A0" w14:textId="77777777" w:rsidR="004C64CA" w:rsidRDefault="004C64CA" w:rsidP="00221C6C">
      <w:pPr>
        <w:pStyle w:val="NoSpacing"/>
        <w:ind w:firstLine="720"/>
        <w:rPr>
          <w:rFonts w:ascii="Times New Roman" w:hAnsi="Times New Roman" w:cs="Times New Roman"/>
        </w:rPr>
      </w:pPr>
    </w:p>
    <w:p w14:paraId="538CF622" w14:textId="465B642E" w:rsidR="007F57E4" w:rsidRPr="007F57E4" w:rsidRDefault="00221C6C" w:rsidP="007F57E4">
      <w:pPr>
        <w:pStyle w:val="NoSpacing"/>
        <w:ind w:firstLine="720"/>
        <w:rPr>
          <w:rFonts w:ascii="Times New Roman" w:hAnsi="Times New Roman" w:cs="Times New Roman"/>
        </w:rPr>
      </w:pPr>
      <w:r>
        <w:rPr>
          <w:rFonts w:ascii="Times New Roman" w:hAnsi="Times New Roman" w:cs="Times New Roman"/>
        </w:rPr>
        <w:t>We can produce a reasonable estimate of the</w:t>
      </w:r>
      <w:r w:rsidR="00120920">
        <w:rPr>
          <w:rFonts w:ascii="Times New Roman" w:hAnsi="Times New Roman" w:cs="Times New Roman"/>
        </w:rPr>
        <w:t xml:space="preserve"> maximum</w:t>
      </w:r>
      <w:r>
        <w:rPr>
          <w:rFonts w:ascii="Times New Roman" w:hAnsi="Times New Roman" w:cs="Times New Roman"/>
        </w:rPr>
        <w:t xml:space="preserve"> </w:t>
      </w:r>
      <w:r w:rsidR="00134A5B">
        <w:rPr>
          <w:rFonts w:ascii="Times New Roman" w:hAnsi="Times New Roman" w:cs="Times New Roman"/>
        </w:rPr>
        <w:t xml:space="preserve">national </w:t>
      </w:r>
      <w:r>
        <w:rPr>
          <w:rFonts w:ascii="Times New Roman" w:hAnsi="Times New Roman" w:cs="Times New Roman"/>
        </w:rPr>
        <w:t xml:space="preserve">range by combining two other sources of information V-Dem provides: </w:t>
      </w:r>
      <w:r w:rsidR="007F57E4">
        <w:rPr>
          <w:rFonts w:ascii="Times New Roman" w:hAnsi="Times New Roman" w:cs="Times New Roman"/>
        </w:rPr>
        <w:t xml:space="preserve">(1) the highest posterior density (HPD) of the </w:t>
      </w:r>
      <w:r w:rsidR="00134A5B">
        <w:rPr>
          <w:rFonts w:ascii="Times New Roman" w:hAnsi="Times New Roman" w:cs="Times New Roman"/>
        </w:rPr>
        <w:t>summary</w:t>
      </w:r>
      <w:r w:rsidR="007F57E4">
        <w:rPr>
          <w:rFonts w:ascii="Times New Roman" w:hAnsi="Times New Roman" w:cs="Times New Roman"/>
        </w:rPr>
        <w:t xml:space="preserve"> subnational measure and (2) </w:t>
      </w:r>
      <w:r w:rsidR="004C64CA">
        <w:rPr>
          <w:rFonts w:ascii="Times New Roman" w:hAnsi="Times New Roman" w:cs="Times New Roman"/>
        </w:rPr>
        <w:t xml:space="preserve">a measure of </w:t>
      </w:r>
      <w:r w:rsidR="004C64CA" w:rsidRPr="004C64CA">
        <w:rPr>
          <w:rFonts w:ascii="Times New Roman" w:hAnsi="Times New Roman" w:cs="Times New Roman"/>
          <w:i/>
          <w:iCs/>
        </w:rPr>
        <w:t>Subnational election unevenness</w:t>
      </w:r>
      <w:r w:rsidR="004C64CA">
        <w:rPr>
          <w:rFonts w:ascii="Times New Roman" w:hAnsi="Times New Roman" w:cs="Times New Roman"/>
        </w:rPr>
        <w:t xml:space="preserve">. </w:t>
      </w:r>
      <w:r w:rsidR="007F57E4">
        <w:rPr>
          <w:rFonts w:ascii="Times New Roman" w:hAnsi="Times New Roman" w:cs="Times New Roman"/>
        </w:rPr>
        <w:t>The HPD is a kind of Bayesian confidence interval.</w:t>
      </w:r>
      <w:r w:rsidR="00134A5B">
        <w:rPr>
          <w:rFonts w:ascii="Times New Roman" w:hAnsi="Times New Roman" w:cs="Times New Roman"/>
        </w:rPr>
        <w:t xml:space="preserve"> It is depicted by the color bands around the lines in Figure 1.</w:t>
      </w:r>
      <w:r w:rsidR="007F57E4">
        <w:rPr>
          <w:rFonts w:ascii="Times New Roman" w:hAnsi="Times New Roman" w:cs="Times New Roman"/>
        </w:rPr>
        <w:t xml:space="preserve"> Specifically, the upper and lower bounds of the HPD contain 68 percent of the measurement model estimates of this variable for the corresponding country-year. In other words, there is a 68 percent chance that the HPD interval contains the true value of </w:t>
      </w:r>
      <w:r w:rsidR="007F57E4" w:rsidRPr="004C64CA">
        <w:rPr>
          <w:rFonts w:ascii="Times New Roman" w:hAnsi="Times New Roman" w:cs="Times New Roman"/>
          <w:i/>
          <w:iCs/>
        </w:rPr>
        <w:t>Subnational election</w:t>
      </w:r>
      <w:r w:rsidR="007F57E4">
        <w:rPr>
          <w:rFonts w:ascii="Times New Roman" w:hAnsi="Times New Roman" w:cs="Times New Roman"/>
          <w:i/>
          <w:iCs/>
        </w:rPr>
        <w:t xml:space="preserve">s free and fair. </w:t>
      </w:r>
      <w:r w:rsidR="007F57E4">
        <w:rPr>
          <w:rFonts w:ascii="Times New Roman" w:hAnsi="Times New Roman" w:cs="Times New Roman"/>
        </w:rPr>
        <w:t>V-Dem’s measurement team chose the 68 percent interval to make it somewhat equivalent to the familiar concept of the standard deviation. The HPD therefore provides some approximate guidance about how large differences must be in order to be counted as “significant</w:t>
      </w:r>
      <w:r w:rsidR="00445784">
        <w:rPr>
          <w:rFonts w:ascii="Times New Roman" w:hAnsi="Times New Roman" w:cs="Times New Roman"/>
        </w:rPr>
        <w:t>,</w:t>
      </w:r>
      <w:r w:rsidR="007F57E4">
        <w:rPr>
          <w:rFonts w:ascii="Times New Roman" w:hAnsi="Times New Roman" w:cs="Times New Roman"/>
        </w:rPr>
        <w:t>”</w:t>
      </w:r>
      <w:r w:rsidR="00445784">
        <w:rPr>
          <w:rFonts w:ascii="Times New Roman" w:hAnsi="Times New Roman" w:cs="Times New Roman"/>
        </w:rPr>
        <w:t xml:space="preserve"> as differences are usually treated as statistically significant when they exceed roughly two standard deviations.</w:t>
      </w:r>
      <w:r w:rsidR="00836768">
        <w:rPr>
          <w:rFonts w:ascii="Times New Roman" w:hAnsi="Times New Roman" w:cs="Times New Roman"/>
        </w:rPr>
        <w:t xml:space="preserve"> We can calculate the plus-or-minus-one-HPD range by subtracting </w:t>
      </w:r>
      <w:r w:rsidR="00836768" w:rsidRPr="004C64CA">
        <w:rPr>
          <w:rFonts w:ascii="Times New Roman" w:hAnsi="Times New Roman" w:cs="Times New Roman"/>
        </w:rPr>
        <w:lastRenderedPageBreak/>
        <w:t>v2elsnlsff</w:t>
      </w:r>
      <w:r w:rsidR="00836768">
        <w:rPr>
          <w:rFonts w:ascii="Times New Roman" w:hAnsi="Times New Roman" w:cs="Times New Roman"/>
        </w:rPr>
        <w:t xml:space="preserve">_codelow from </w:t>
      </w:r>
      <w:r w:rsidR="00836768" w:rsidRPr="004C64CA">
        <w:rPr>
          <w:rFonts w:ascii="Times New Roman" w:hAnsi="Times New Roman" w:cs="Times New Roman"/>
        </w:rPr>
        <w:t>v2elsnlsff</w:t>
      </w:r>
      <w:r w:rsidR="00836768">
        <w:rPr>
          <w:rFonts w:ascii="Times New Roman" w:hAnsi="Times New Roman" w:cs="Times New Roman"/>
        </w:rPr>
        <w:t xml:space="preserve">_codehigh (two variables included in the aggregate V-Dem data set that report the bounds of this range). </w:t>
      </w:r>
    </w:p>
    <w:p w14:paraId="76F02F09" w14:textId="052D148F" w:rsidR="007F57E4" w:rsidRDefault="007F57E4" w:rsidP="00AE26D6">
      <w:pPr>
        <w:pStyle w:val="NoSpacing"/>
        <w:rPr>
          <w:rFonts w:ascii="Times New Roman" w:hAnsi="Times New Roman" w:cs="Times New Roman"/>
        </w:rPr>
      </w:pPr>
    </w:p>
    <w:p w14:paraId="130186AE" w14:textId="320A48C8" w:rsidR="004C64CA" w:rsidRDefault="0024635D" w:rsidP="00221C6C">
      <w:pPr>
        <w:pStyle w:val="NoSpacing"/>
        <w:ind w:firstLine="720"/>
        <w:rPr>
          <w:rFonts w:ascii="Times New Roman" w:hAnsi="Times New Roman" w:cs="Times New Roman"/>
        </w:rPr>
      </w:pPr>
      <w:r>
        <w:rPr>
          <w:rFonts w:ascii="Times New Roman" w:hAnsi="Times New Roman" w:cs="Times New Roman"/>
        </w:rPr>
        <w:t>The other source of information on the range, u</w:t>
      </w:r>
      <w:r w:rsidR="004C64CA">
        <w:rPr>
          <w:rFonts w:ascii="Times New Roman" w:hAnsi="Times New Roman" w:cs="Times New Roman"/>
        </w:rPr>
        <w:t>nevenness</w:t>
      </w:r>
      <w:r>
        <w:rPr>
          <w:rFonts w:ascii="Times New Roman" w:hAnsi="Times New Roman" w:cs="Times New Roman"/>
        </w:rPr>
        <w:t>,</w:t>
      </w:r>
      <w:r w:rsidR="004C64CA">
        <w:rPr>
          <w:rFonts w:ascii="Times New Roman" w:hAnsi="Times New Roman" w:cs="Times New Roman"/>
        </w:rPr>
        <w:t xml:space="preserve"> captures expert responses to this question</w:t>
      </w:r>
      <w:r>
        <w:rPr>
          <w:rFonts w:ascii="Times New Roman" w:hAnsi="Times New Roman" w:cs="Times New Roman"/>
        </w:rPr>
        <w:t xml:space="preserve"> (</w:t>
      </w:r>
      <w:r w:rsidRPr="004C64CA">
        <w:rPr>
          <w:rFonts w:ascii="Times New Roman" w:hAnsi="Times New Roman" w:cs="Times New Roman"/>
        </w:rPr>
        <w:t>v2elsnlsff</w:t>
      </w:r>
      <w:r>
        <w:rPr>
          <w:rFonts w:ascii="Times New Roman" w:hAnsi="Times New Roman" w:cs="Times New Roman"/>
        </w:rPr>
        <w:t>)</w:t>
      </w:r>
      <w:r w:rsidR="004C64CA">
        <w:rPr>
          <w:rFonts w:ascii="Times New Roman" w:hAnsi="Times New Roman" w:cs="Times New Roman"/>
        </w:rPr>
        <w:t>:</w:t>
      </w:r>
    </w:p>
    <w:p w14:paraId="55C10941" w14:textId="1C6B076A" w:rsidR="004C64CA" w:rsidRDefault="004C64CA" w:rsidP="00221C6C">
      <w:pPr>
        <w:pStyle w:val="NoSpacing"/>
        <w:ind w:firstLine="720"/>
        <w:rPr>
          <w:rFonts w:ascii="Times New Roman" w:hAnsi="Times New Roman" w:cs="Times New Roman"/>
        </w:rPr>
      </w:pPr>
    </w:p>
    <w:p w14:paraId="121CDE7D" w14:textId="43D27B61" w:rsidR="004C64CA" w:rsidRPr="004C64CA" w:rsidRDefault="004C64CA" w:rsidP="004C64CA">
      <w:pPr>
        <w:pStyle w:val="NoSpacing"/>
        <w:ind w:left="720"/>
        <w:rPr>
          <w:rFonts w:ascii="Times New Roman" w:hAnsi="Times New Roman" w:cs="Times New Roman"/>
          <w:sz w:val="20"/>
          <w:szCs w:val="20"/>
        </w:rPr>
      </w:pPr>
      <w:r w:rsidRPr="004C64CA">
        <w:rPr>
          <w:rFonts w:ascii="Times New Roman" w:hAnsi="Times New Roman" w:cs="Times New Roman"/>
          <w:sz w:val="20"/>
          <w:szCs w:val="20"/>
        </w:rPr>
        <w:t>Does the freeness and fairness of subnational elections vary across different areas of the country?</w:t>
      </w:r>
      <w:r>
        <w:rPr>
          <w:rFonts w:ascii="Times New Roman" w:hAnsi="Times New Roman" w:cs="Times New Roman"/>
          <w:sz w:val="20"/>
          <w:szCs w:val="20"/>
        </w:rPr>
        <w:t xml:space="preserve"> </w:t>
      </w:r>
    </w:p>
    <w:p w14:paraId="78900CDE" w14:textId="60D4B1B6" w:rsidR="004C64CA" w:rsidRPr="004C64CA" w:rsidRDefault="004C64CA" w:rsidP="004C64CA">
      <w:pPr>
        <w:pStyle w:val="NoSpacing"/>
        <w:ind w:left="720"/>
        <w:rPr>
          <w:rFonts w:ascii="Times New Roman" w:hAnsi="Times New Roman" w:cs="Times New Roman"/>
          <w:sz w:val="20"/>
          <w:szCs w:val="20"/>
        </w:rPr>
      </w:pPr>
      <w:r w:rsidRPr="004C64CA">
        <w:rPr>
          <w:rFonts w:ascii="Times New Roman" w:hAnsi="Times New Roman" w:cs="Times New Roman"/>
          <w:sz w:val="20"/>
          <w:szCs w:val="20"/>
        </w:rPr>
        <w:t>Clarification: Subnational elections refer to elections to regional or local offices, as specified above.</w:t>
      </w:r>
    </w:p>
    <w:p w14:paraId="494A87F9" w14:textId="4FEDEDA0" w:rsidR="004C64CA" w:rsidRPr="004C64CA" w:rsidRDefault="004C64CA" w:rsidP="004C64CA">
      <w:pPr>
        <w:pStyle w:val="NoSpacing"/>
        <w:ind w:left="720"/>
        <w:rPr>
          <w:rFonts w:ascii="Times New Roman" w:hAnsi="Times New Roman" w:cs="Times New Roman"/>
          <w:sz w:val="20"/>
          <w:szCs w:val="20"/>
        </w:rPr>
      </w:pPr>
    </w:p>
    <w:p w14:paraId="753E0714" w14:textId="63574A29" w:rsidR="004C64CA" w:rsidRDefault="004C64CA" w:rsidP="004C64CA">
      <w:pPr>
        <w:pStyle w:val="NoSpacing"/>
        <w:ind w:left="720"/>
        <w:rPr>
          <w:rFonts w:ascii="Times New Roman" w:hAnsi="Times New Roman" w:cs="Times New Roman"/>
          <w:sz w:val="20"/>
          <w:szCs w:val="20"/>
        </w:rPr>
      </w:pPr>
      <w:r w:rsidRPr="004C64CA">
        <w:rPr>
          <w:rFonts w:ascii="Times New Roman" w:hAnsi="Times New Roman" w:cs="Times New Roman"/>
          <w:sz w:val="20"/>
          <w:szCs w:val="20"/>
        </w:rPr>
        <w:t xml:space="preserve">Responses: </w:t>
      </w:r>
    </w:p>
    <w:p w14:paraId="4B4F47E1" w14:textId="58945271" w:rsidR="004C64CA" w:rsidRPr="004C64CA" w:rsidRDefault="004C64CA" w:rsidP="004C64CA">
      <w:pPr>
        <w:pStyle w:val="NoSpacing"/>
        <w:ind w:left="720"/>
        <w:rPr>
          <w:rFonts w:ascii="Times New Roman" w:hAnsi="Times New Roman" w:cs="Times New Roman"/>
          <w:sz w:val="20"/>
          <w:szCs w:val="20"/>
        </w:rPr>
      </w:pPr>
      <w:r w:rsidRPr="004C64CA">
        <w:rPr>
          <w:rFonts w:ascii="Times New Roman" w:hAnsi="Times New Roman" w:cs="Times New Roman"/>
          <w:sz w:val="20"/>
          <w:szCs w:val="20"/>
        </w:rPr>
        <w:t>0: Yes. Subnational elections in some areas of the country are significantly more free and fair (or, alternatively, significantly less free and fair) than subnational elections in other areas of the country.</w:t>
      </w:r>
    </w:p>
    <w:p w14:paraId="3B855636" w14:textId="228CC513" w:rsidR="004C64CA" w:rsidRPr="004C64CA" w:rsidRDefault="004C64CA" w:rsidP="004C64CA">
      <w:pPr>
        <w:pStyle w:val="NoSpacing"/>
        <w:ind w:left="720"/>
        <w:rPr>
          <w:rFonts w:ascii="Times New Roman" w:hAnsi="Times New Roman" w:cs="Times New Roman"/>
          <w:sz w:val="20"/>
          <w:szCs w:val="20"/>
        </w:rPr>
      </w:pPr>
      <w:r w:rsidRPr="004C64CA">
        <w:rPr>
          <w:rFonts w:ascii="Times New Roman" w:hAnsi="Times New Roman" w:cs="Times New Roman"/>
          <w:sz w:val="20"/>
          <w:szCs w:val="20"/>
        </w:rPr>
        <w:t>1: Somewhat. Subnational elections in some areas of the country are somewhat more free and fair (or, alternatively, somewhat less free and fair) than subnational elections in other areas of the country.</w:t>
      </w:r>
    </w:p>
    <w:p w14:paraId="5D6A6CDD" w14:textId="4E2C11BE" w:rsidR="004C64CA" w:rsidRDefault="004C64CA" w:rsidP="004C64CA">
      <w:pPr>
        <w:pStyle w:val="NoSpacing"/>
        <w:ind w:left="720"/>
        <w:rPr>
          <w:rFonts w:ascii="Times New Roman" w:hAnsi="Times New Roman" w:cs="Times New Roman"/>
          <w:sz w:val="20"/>
          <w:szCs w:val="20"/>
        </w:rPr>
      </w:pPr>
      <w:r w:rsidRPr="004C64CA">
        <w:rPr>
          <w:rFonts w:ascii="Times New Roman" w:hAnsi="Times New Roman" w:cs="Times New Roman"/>
          <w:sz w:val="20"/>
          <w:szCs w:val="20"/>
        </w:rPr>
        <w:t>2: No. Subnational elections in most or all areas of the country are equally free and fair (or, alternatively, equally not free and not fair).</w:t>
      </w:r>
    </w:p>
    <w:p w14:paraId="34C114FC" w14:textId="6E4ED9F7" w:rsidR="007F57E4" w:rsidRDefault="007F57E4" w:rsidP="007F57E4">
      <w:pPr>
        <w:pStyle w:val="NoSpacing"/>
        <w:rPr>
          <w:rFonts w:ascii="Times New Roman" w:hAnsi="Times New Roman" w:cs="Times New Roman"/>
          <w:sz w:val="20"/>
          <w:szCs w:val="20"/>
        </w:rPr>
      </w:pPr>
    </w:p>
    <w:p w14:paraId="4F079ED2" w14:textId="53CB000A" w:rsidR="0000218C" w:rsidRDefault="00AE26D6" w:rsidP="0000218C">
      <w:pPr>
        <w:pStyle w:val="NoSpacing"/>
        <w:rPr>
          <w:rFonts w:ascii="Times New Roman" w:hAnsi="Times New Roman" w:cs="Times New Roman"/>
        </w:rPr>
      </w:pPr>
      <w:r w:rsidRPr="00134A5B">
        <w:rPr>
          <w:rFonts w:ascii="Times New Roman" w:hAnsi="Times New Roman" w:cs="Times New Roman"/>
        </w:rPr>
        <w:t xml:space="preserve">Country experts have answered this question for each country-year. If all the experts chose answer 2, we </w:t>
      </w:r>
      <w:r w:rsidR="00134A5B" w:rsidRPr="00134A5B">
        <w:rPr>
          <w:rFonts w:ascii="Times New Roman" w:hAnsi="Times New Roman" w:cs="Times New Roman"/>
        </w:rPr>
        <w:t>would</w:t>
      </w:r>
      <w:r w:rsidRPr="00134A5B">
        <w:rPr>
          <w:rFonts w:ascii="Times New Roman" w:hAnsi="Times New Roman" w:cs="Times New Roman"/>
        </w:rPr>
        <w:t xml:space="preserve"> multiply the HPD by 2 - v2elsnlsff = 0 to reflect the belief that the quality of elections does not vary at all at the subnational level.</w:t>
      </w:r>
      <w:r w:rsidR="006740C2">
        <w:rPr>
          <w:rStyle w:val="FootnoteReference"/>
          <w:rFonts w:ascii="Times New Roman" w:hAnsi="Times New Roman" w:cs="Times New Roman"/>
        </w:rPr>
        <w:footnoteReference w:id="1"/>
      </w:r>
      <w:r w:rsidRPr="00134A5B">
        <w:rPr>
          <w:rFonts w:ascii="Times New Roman" w:hAnsi="Times New Roman" w:cs="Times New Roman"/>
        </w:rPr>
        <w:t xml:space="preserve"> If the all the experts chose answer 0, we </w:t>
      </w:r>
      <w:r w:rsidR="00134A5B" w:rsidRPr="00134A5B">
        <w:rPr>
          <w:rFonts w:ascii="Times New Roman" w:hAnsi="Times New Roman" w:cs="Times New Roman"/>
        </w:rPr>
        <w:t>would</w:t>
      </w:r>
      <w:r w:rsidRPr="00134A5B">
        <w:rPr>
          <w:rFonts w:ascii="Times New Roman" w:hAnsi="Times New Roman" w:cs="Times New Roman"/>
        </w:rPr>
        <w:t xml:space="preserve"> multiply the HPD by 2 - v2elsnlsff = 2 to implement the expert guidance that the range of variation is around two standard deviations and therefore, in a sense, significant. If all the experts chose answer 1, the multiplier would be 2 - v2elsnlsff = 1, reflecting the expert judgment that values vary “somewhat” but not “significantly</w:t>
      </w:r>
      <w:r w:rsidR="009B7A0E" w:rsidRPr="00134A5B">
        <w:rPr>
          <w:rFonts w:ascii="Times New Roman" w:hAnsi="Times New Roman" w:cs="Times New Roman"/>
        </w:rPr>
        <w:t xml:space="preserve">,” which corresponds to variation of less than two standard deviations. To be sure, the country experts do not necessarily agree on whether subnational units vary significantly, only somewhat, or not at all, so the actual range in practice will be a weighted average between zero and two HPDs. </w:t>
      </w:r>
      <w:r w:rsidR="00EA5386">
        <w:rPr>
          <w:rFonts w:ascii="Times New Roman" w:hAnsi="Times New Roman" w:cs="Times New Roman"/>
        </w:rPr>
        <w:t xml:space="preserve">The range of variation in the freeness and fairness of subnational elections, Range, </w:t>
      </w:r>
      <w:r w:rsidR="00047463">
        <w:rPr>
          <w:rFonts w:ascii="Times New Roman" w:hAnsi="Times New Roman" w:cs="Times New Roman"/>
        </w:rPr>
        <w:t>is</w:t>
      </w:r>
      <w:r w:rsidR="00EA5386">
        <w:rPr>
          <w:rFonts w:ascii="Times New Roman" w:hAnsi="Times New Roman" w:cs="Times New Roman"/>
        </w:rPr>
        <w:t xml:space="preserve"> therefore measured as </w:t>
      </w:r>
    </w:p>
    <w:p w14:paraId="138056E0" w14:textId="1E53BF72" w:rsidR="00EA5386" w:rsidRDefault="00EA5386" w:rsidP="0000218C">
      <w:pPr>
        <w:pStyle w:val="NoSpacing"/>
        <w:rPr>
          <w:rFonts w:ascii="Times New Roman" w:hAnsi="Times New Roman" w:cs="Times New Roman"/>
        </w:rPr>
      </w:pPr>
    </w:p>
    <w:p w14:paraId="6EE5E2B7" w14:textId="133430C1" w:rsidR="00EA5386" w:rsidRDefault="00000000" w:rsidP="0000218C">
      <w:pPr>
        <w:pStyle w:val="NoSpacing"/>
        <w:rPr>
          <w:rFonts w:ascii="Times New Roman" w:hAnsi="Times New Roman" w:cs="Times New Roman"/>
        </w:rPr>
      </w:pPr>
      <m:oMathPara>
        <m:oMath>
          <m:sSub>
            <m:sSubPr>
              <m:ctrlPr>
                <w:rPr>
                  <w:rFonts w:ascii="Cambria Math" w:hAnsi="Cambria Math" w:cs="Times New Roman"/>
                  <w:i/>
                  <w:sz w:val="20"/>
                  <w:szCs w:val="20"/>
                </w:rPr>
              </m:ctrlPr>
            </m:sSubPr>
            <m:e>
              <m:r>
                <w:rPr>
                  <w:rFonts w:ascii="Cambria Math" w:hAnsi="Cambria Math" w:cs="Times New Roman"/>
                  <w:sz w:val="20"/>
                  <w:szCs w:val="20"/>
                </w:rPr>
                <m:t>Range</m:t>
              </m:r>
            </m:e>
            <m:sub>
              <m:r>
                <w:rPr>
                  <w:rFonts w:ascii="Cambria Math" w:hAnsi="Cambria Math" w:cs="Times New Roman"/>
                  <w:sz w:val="20"/>
                  <w:szCs w:val="20"/>
                </w:rPr>
                <m:t>it</m:t>
              </m:r>
            </m:sub>
          </m:sSub>
          <m:r>
            <w:rPr>
              <w:rFonts w:ascii="Cambria Math" w:hAnsi="Cambria Math" w:cs="Times New Roman"/>
              <w:sz w:val="20"/>
              <w:szCs w:val="20"/>
            </w:rPr>
            <m:t xml:space="preserve">= </m:t>
          </m:r>
          <m:nary>
            <m:naryPr>
              <m:chr m:val="∑"/>
              <m:limLoc m:val="undOvr"/>
              <m:ctrlPr>
                <w:rPr>
                  <w:rFonts w:ascii="Cambria Math" w:hAnsi="Cambria Math" w:cs="Times New Roman"/>
                  <w:i/>
                  <w:sz w:val="20"/>
                  <w:szCs w:val="20"/>
                </w:rPr>
              </m:ctrlPr>
            </m:naryPr>
            <m:sub>
              <m:r>
                <w:rPr>
                  <w:rFonts w:ascii="Cambria Math" w:hAnsi="Cambria Math" w:cs="Times New Roman"/>
                  <w:sz w:val="20"/>
                  <w:szCs w:val="20"/>
                </w:rPr>
                <m:t>1</m:t>
              </m:r>
            </m:sub>
            <m:sup>
              <m:r>
                <w:rPr>
                  <w:rFonts w:ascii="Cambria Math" w:hAnsi="Cambria Math" w:cs="Times New Roman"/>
                  <w:sz w:val="20"/>
                  <w:szCs w:val="20"/>
                </w:rPr>
                <m:t>c</m:t>
              </m:r>
            </m:sup>
            <m:e>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HPD</m:t>
                      </m:r>
                    </m:e>
                    <m:sub>
                      <m:r>
                        <w:rPr>
                          <w:rFonts w:ascii="Cambria Math" w:hAnsi="Cambria Math" w:cs="Times New Roman"/>
                          <w:sz w:val="20"/>
                          <w:szCs w:val="20"/>
                        </w:rPr>
                        <m:t>it</m:t>
                      </m:r>
                    </m:sub>
                  </m:sSub>
                  <m:r>
                    <w:rPr>
                      <w:rFonts w:ascii="Cambria Math" w:hAnsi="Cambria Math" w:cs="Times New Roman"/>
                      <w:sz w:val="20"/>
                      <w:szCs w:val="20"/>
                    </w:rPr>
                    <m:t>*[</m:t>
                  </m:r>
                  <m:d>
                    <m:dPr>
                      <m:ctrlPr>
                        <w:rPr>
                          <w:rFonts w:ascii="Cambria Math" w:hAnsi="Cambria Math" w:cs="Times New Roman"/>
                          <w:i/>
                          <w:sz w:val="20"/>
                          <w:szCs w:val="20"/>
                        </w:rPr>
                      </m:ctrlPr>
                    </m:dPr>
                    <m:e>
                      <m:r>
                        <w:rPr>
                          <w:rFonts w:ascii="Cambria Math" w:hAnsi="Cambria Math" w:cs="Times New Roman"/>
                          <w:sz w:val="20"/>
                          <w:szCs w:val="20"/>
                        </w:rPr>
                        <m:t>2-</m:t>
                      </m:r>
                      <m:sSub>
                        <m:sSubPr>
                          <m:ctrlPr>
                            <w:rPr>
                              <w:rFonts w:ascii="Cambria Math" w:hAnsi="Cambria Math" w:cs="Times New Roman"/>
                              <w:i/>
                              <w:sz w:val="20"/>
                              <w:szCs w:val="20"/>
                            </w:rPr>
                          </m:ctrlPr>
                        </m:sSubPr>
                        <m:e>
                          <m:r>
                            <w:rPr>
                              <w:rFonts w:ascii="Cambria Math" w:hAnsi="Cambria Math" w:cs="Times New Roman"/>
                              <w:sz w:val="20"/>
                              <w:szCs w:val="20"/>
                            </w:rPr>
                            <m:t>v2elsnlsff_1</m:t>
                          </m:r>
                        </m:e>
                        <m:sub>
                          <m:r>
                            <w:rPr>
                              <w:rFonts w:ascii="Cambria Math" w:hAnsi="Cambria Math" w:cs="Times New Roman"/>
                              <w:sz w:val="20"/>
                              <w:szCs w:val="20"/>
                            </w:rPr>
                            <m:t>itc</m:t>
                          </m:r>
                        </m:sub>
                      </m:sSub>
                    </m:e>
                  </m:d>
                  <m:r>
                    <w:rPr>
                      <w:rFonts w:ascii="Cambria Math" w:hAnsi="Cambria Math" w:cs="Times New Roman"/>
                      <w:sz w:val="20"/>
                      <w:szCs w:val="20"/>
                    </w:rPr>
                    <m:t>+2*</m:t>
                  </m:r>
                  <m:d>
                    <m:dPr>
                      <m:ctrlPr>
                        <w:rPr>
                          <w:rFonts w:ascii="Cambria Math" w:hAnsi="Cambria Math" w:cs="Times New Roman"/>
                          <w:i/>
                          <w:sz w:val="20"/>
                          <w:szCs w:val="20"/>
                        </w:rPr>
                      </m:ctrlPr>
                    </m:dPr>
                    <m:e>
                      <m:r>
                        <w:rPr>
                          <w:rFonts w:ascii="Cambria Math" w:hAnsi="Cambria Math" w:cs="Times New Roman"/>
                          <w:sz w:val="20"/>
                          <w:szCs w:val="20"/>
                        </w:rPr>
                        <m:t>2-</m:t>
                      </m:r>
                      <m:sSub>
                        <m:sSubPr>
                          <m:ctrlPr>
                            <w:rPr>
                              <w:rFonts w:ascii="Cambria Math" w:hAnsi="Cambria Math" w:cs="Times New Roman"/>
                              <w:i/>
                              <w:sz w:val="20"/>
                              <w:szCs w:val="20"/>
                            </w:rPr>
                          </m:ctrlPr>
                        </m:sSubPr>
                        <m:e>
                          <m:r>
                            <w:rPr>
                              <w:rFonts w:ascii="Cambria Math" w:hAnsi="Cambria Math" w:cs="Times New Roman"/>
                              <w:sz w:val="20"/>
                              <w:szCs w:val="20"/>
                            </w:rPr>
                            <m:t>v2elsnlsff_0</m:t>
                          </m:r>
                        </m:e>
                        <m:sub>
                          <m:r>
                            <w:rPr>
                              <w:rFonts w:ascii="Cambria Math" w:hAnsi="Cambria Math" w:cs="Times New Roman"/>
                              <w:sz w:val="20"/>
                              <w:szCs w:val="20"/>
                            </w:rPr>
                            <m:t>itc</m:t>
                          </m:r>
                        </m:sub>
                      </m:sSub>
                    </m:e>
                  </m:d>
                  <m:r>
                    <w:rPr>
                      <w:rFonts w:ascii="Cambria Math" w:hAnsi="Cambria Math" w:cs="Times New Roman"/>
                      <w:sz w:val="20"/>
                      <w:szCs w:val="20"/>
                    </w:rPr>
                    <m:t>]</m:t>
                  </m:r>
                </m:num>
                <m:den>
                  <m:r>
                    <w:rPr>
                      <w:rFonts w:ascii="Cambria Math" w:hAnsi="Cambria Math" w:cs="Times New Roman"/>
                      <w:sz w:val="20"/>
                      <w:szCs w:val="20"/>
                    </w:rPr>
                    <m:t>v2elsnlsf</m:t>
                  </m:r>
                  <m:sSub>
                    <m:sSubPr>
                      <m:ctrlPr>
                        <w:rPr>
                          <w:rFonts w:ascii="Cambria Math" w:hAnsi="Cambria Math" w:cs="Times New Roman"/>
                          <w:i/>
                          <w:sz w:val="20"/>
                          <w:szCs w:val="20"/>
                        </w:rPr>
                      </m:ctrlPr>
                    </m:sSubPr>
                    <m:e>
                      <m:r>
                        <w:rPr>
                          <w:rFonts w:ascii="Cambria Math" w:hAnsi="Cambria Math" w:cs="Times New Roman"/>
                          <w:sz w:val="20"/>
                          <w:szCs w:val="20"/>
                        </w:rPr>
                        <m:t>f_0</m:t>
                      </m:r>
                    </m:e>
                    <m:sub>
                      <m:r>
                        <w:rPr>
                          <w:rFonts w:ascii="Cambria Math" w:hAnsi="Cambria Math" w:cs="Times New Roman"/>
                          <w:sz w:val="20"/>
                          <w:szCs w:val="20"/>
                        </w:rPr>
                        <m:t>itc</m:t>
                      </m:r>
                    </m:sub>
                  </m:sSub>
                  <m:r>
                    <w:rPr>
                      <w:rFonts w:ascii="Cambria Math" w:hAnsi="Cambria Math" w:cs="Times New Roman"/>
                      <w:sz w:val="20"/>
                      <w:szCs w:val="20"/>
                    </w:rPr>
                    <m:t>+v2elsnlsf</m:t>
                  </m:r>
                  <m:sSub>
                    <m:sSubPr>
                      <m:ctrlPr>
                        <w:rPr>
                          <w:rFonts w:ascii="Cambria Math" w:hAnsi="Cambria Math" w:cs="Times New Roman"/>
                          <w:i/>
                          <w:sz w:val="20"/>
                          <w:szCs w:val="20"/>
                        </w:rPr>
                      </m:ctrlPr>
                    </m:sSubPr>
                    <m:e>
                      <m:r>
                        <w:rPr>
                          <w:rFonts w:ascii="Cambria Math" w:hAnsi="Cambria Math" w:cs="Times New Roman"/>
                          <w:sz w:val="20"/>
                          <w:szCs w:val="20"/>
                        </w:rPr>
                        <m:t>f_1</m:t>
                      </m:r>
                    </m:e>
                    <m:sub>
                      <m:r>
                        <w:rPr>
                          <w:rFonts w:ascii="Cambria Math" w:hAnsi="Cambria Math" w:cs="Times New Roman"/>
                          <w:sz w:val="20"/>
                          <w:szCs w:val="20"/>
                        </w:rPr>
                        <m:t>itc</m:t>
                      </m:r>
                    </m:sub>
                  </m:sSub>
                  <m:r>
                    <w:rPr>
                      <w:rFonts w:ascii="Cambria Math" w:hAnsi="Cambria Math" w:cs="Times New Roman"/>
                      <w:sz w:val="20"/>
                      <w:szCs w:val="20"/>
                    </w:rPr>
                    <m:t>+v2elsnlsf</m:t>
                  </m:r>
                  <m:sSub>
                    <m:sSubPr>
                      <m:ctrlPr>
                        <w:rPr>
                          <w:rFonts w:ascii="Cambria Math" w:hAnsi="Cambria Math" w:cs="Times New Roman"/>
                          <w:i/>
                          <w:sz w:val="20"/>
                          <w:szCs w:val="20"/>
                        </w:rPr>
                      </m:ctrlPr>
                    </m:sSubPr>
                    <m:e>
                      <m:r>
                        <w:rPr>
                          <w:rFonts w:ascii="Cambria Math" w:hAnsi="Cambria Math" w:cs="Times New Roman"/>
                          <w:sz w:val="20"/>
                          <w:szCs w:val="20"/>
                        </w:rPr>
                        <m:t>f_2</m:t>
                      </m:r>
                    </m:e>
                    <m:sub>
                      <m:r>
                        <w:rPr>
                          <w:rFonts w:ascii="Cambria Math" w:hAnsi="Cambria Math" w:cs="Times New Roman"/>
                          <w:sz w:val="20"/>
                          <w:szCs w:val="20"/>
                        </w:rPr>
                        <m:t>itc</m:t>
                      </m:r>
                    </m:sub>
                  </m:sSub>
                </m:den>
              </m:f>
            </m:e>
          </m:nary>
        </m:oMath>
      </m:oMathPara>
    </w:p>
    <w:p w14:paraId="49F0FF37" w14:textId="4923B00D" w:rsidR="00047463" w:rsidRDefault="00D74AF6" w:rsidP="0000218C">
      <w:pPr>
        <w:pStyle w:val="NoSpacing"/>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0F56D1DF" wp14:editId="75259B7A">
            <wp:simplePos x="0" y="0"/>
            <wp:positionH relativeFrom="margin">
              <wp:posOffset>2203450</wp:posOffset>
            </wp:positionH>
            <wp:positionV relativeFrom="paragraph">
              <wp:posOffset>5080</wp:posOffset>
            </wp:positionV>
            <wp:extent cx="3733165" cy="2487930"/>
            <wp:effectExtent l="0" t="0" r="635" b="762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33165" cy="2487930"/>
                    </a:xfrm>
                    <a:prstGeom prst="rect">
                      <a:avLst/>
                    </a:prstGeom>
                  </pic:spPr>
                </pic:pic>
              </a:graphicData>
            </a:graphic>
            <wp14:sizeRelH relativeFrom="margin">
              <wp14:pctWidth>0</wp14:pctWidth>
            </wp14:sizeRelH>
            <wp14:sizeRelV relativeFrom="margin">
              <wp14:pctHeight>0</wp14:pctHeight>
            </wp14:sizeRelV>
          </wp:anchor>
        </w:drawing>
      </w:r>
    </w:p>
    <w:p w14:paraId="713E1013" w14:textId="3D503590" w:rsidR="00221C6C" w:rsidRDefault="004928BA" w:rsidP="0000218C">
      <w:pPr>
        <w:pStyle w:val="NoSpacing"/>
        <w:rPr>
          <w:rFonts w:ascii="Times New Roman" w:hAnsi="Times New Roman" w:cs="Times New Roman"/>
        </w:rPr>
      </w:pPr>
      <w:r>
        <w:rPr>
          <w:rFonts w:ascii="Times New Roman" w:hAnsi="Times New Roman" w:cs="Times New Roman"/>
        </w:rPr>
        <w:t>[Note that at the coder level (with subscripts “itc,” the coder scores are ones and zeroes, so the sum</w:t>
      </w:r>
      <w:r w:rsidR="004D73BB">
        <w:rPr>
          <w:rFonts w:ascii="Times New Roman" w:hAnsi="Times New Roman" w:cs="Times New Roman"/>
        </w:rPr>
        <w:t>mation</w:t>
      </w:r>
      <w:r>
        <w:rPr>
          <w:rFonts w:ascii="Times New Roman" w:hAnsi="Times New Roman" w:cs="Times New Roman"/>
        </w:rPr>
        <w:t xml:space="preserve"> of these scores </w:t>
      </w:r>
      <w:r w:rsidR="004D73BB">
        <w:rPr>
          <w:rFonts w:ascii="Times New Roman" w:hAnsi="Times New Roman" w:cs="Times New Roman"/>
        </w:rPr>
        <w:t>is</w:t>
      </w:r>
      <w:r>
        <w:rPr>
          <w:rFonts w:ascii="Times New Roman" w:hAnsi="Times New Roman" w:cs="Times New Roman"/>
        </w:rPr>
        <w:t xml:space="preserve"> the number of coders choosing each option (0, 1, or 2) of the unevenness variable.]</w:t>
      </w:r>
    </w:p>
    <w:p w14:paraId="0E445CDE" w14:textId="6FAB6BD7" w:rsidR="00AE1F9C" w:rsidRDefault="00AE1F9C" w:rsidP="0000218C">
      <w:pPr>
        <w:pStyle w:val="NoSpacing"/>
        <w:rPr>
          <w:rFonts w:ascii="Times New Roman" w:hAnsi="Times New Roman" w:cs="Times New Roman"/>
        </w:rPr>
      </w:pPr>
    </w:p>
    <w:p w14:paraId="5AB7827B" w14:textId="10BB9813" w:rsidR="00047463" w:rsidRDefault="00AE1F9C" w:rsidP="00047463">
      <w:pPr>
        <w:pStyle w:val="NoSpacing"/>
        <w:rPr>
          <w:rFonts w:ascii="Times New Roman" w:hAnsi="Times New Roman" w:cs="Times New Roman"/>
        </w:rPr>
      </w:pPr>
      <w:r>
        <w:rPr>
          <w:rFonts w:ascii="Times New Roman" w:hAnsi="Times New Roman" w:cs="Times New Roman"/>
        </w:rPr>
        <w:t>The range around the subnational mean is (</w:t>
      </w:r>
      <w:r w:rsidRPr="00AE1F9C">
        <w:rPr>
          <w:rFonts w:ascii="Times New Roman" w:hAnsi="Times New Roman" w:cs="Times New Roman"/>
        </w:rPr>
        <w:t>v2elffelr</w:t>
      </w:r>
      <w:r w:rsidRPr="00AE1F9C">
        <w:rPr>
          <w:rFonts w:ascii="Times New Roman" w:hAnsi="Times New Roman" w:cs="Times New Roman"/>
          <w:vertAlign w:val="subscript"/>
        </w:rPr>
        <w:t xml:space="preserve">it </w:t>
      </w:r>
      <w:r>
        <w:rPr>
          <w:rFonts w:ascii="Times New Roman" w:hAnsi="Times New Roman" w:cs="Times New Roman"/>
        </w:rPr>
        <w:t>+ R</w:t>
      </w:r>
      <w:r w:rsidRPr="00AE1F9C">
        <w:rPr>
          <w:rFonts w:ascii="Times New Roman" w:hAnsi="Times New Roman" w:cs="Times New Roman"/>
        </w:rPr>
        <w:t>ange</w:t>
      </w:r>
      <w:r w:rsidRPr="00AE1F9C">
        <w:rPr>
          <w:rFonts w:ascii="Times New Roman" w:hAnsi="Times New Roman" w:cs="Times New Roman"/>
          <w:vertAlign w:val="subscript"/>
        </w:rPr>
        <w:t>it</w:t>
      </w:r>
      <w:r w:rsidRPr="00AE1F9C">
        <w:rPr>
          <w:rFonts w:ascii="Times New Roman" w:hAnsi="Times New Roman" w:cs="Times New Roman"/>
        </w:rPr>
        <w:t>, v2elffelr</w:t>
      </w:r>
      <w:r w:rsidRPr="00AE1F9C">
        <w:rPr>
          <w:rFonts w:ascii="Times New Roman" w:hAnsi="Times New Roman" w:cs="Times New Roman"/>
          <w:vertAlign w:val="subscript"/>
        </w:rPr>
        <w:t xml:space="preserve">it </w:t>
      </w:r>
      <w:r>
        <w:rPr>
          <w:rFonts w:ascii="Times New Roman" w:hAnsi="Times New Roman" w:cs="Times New Roman"/>
        </w:rPr>
        <w:t>–</w:t>
      </w:r>
      <w:r w:rsidRPr="00AE1F9C">
        <w:rPr>
          <w:rFonts w:ascii="Times New Roman" w:hAnsi="Times New Roman" w:cs="Times New Roman"/>
        </w:rPr>
        <w:t xml:space="preserve"> </w:t>
      </w:r>
      <w:r>
        <w:rPr>
          <w:rFonts w:ascii="Times New Roman" w:hAnsi="Times New Roman" w:cs="Times New Roman"/>
        </w:rPr>
        <w:t>R</w:t>
      </w:r>
      <w:r w:rsidRPr="00AE1F9C">
        <w:rPr>
          <w:rFonts w:ascii="Times New Roman" w:hAnsi="Times New Roman" w:cs="Times New Roman"/>
        </w:rPr>
        <w:t>ange</w:t>
      </w:r>
      <w:r w:rsidRPr="00AE1F9C">
        <w:rPr>
          <w:rFonts w:ascii="Times New Roman" w:hAnsi="Times New Roman" w:cs="Times New Roman"/>
          <w:vertAlign w:val="subscript"/>
        </w:rPr>
        <w:t>it</w:t>
      </w:r>
      <w:r>
        <w:rPr>
          <w:rFonts w:ascii="Times New Roman" w:hAnsi="Times New Roman" w:cs="Times New Roman"/>
        </w:rPr>
        <w:t xml:space="preserve">). </w:t>
      </w:r>
      <w:r w:rsidR="00047463">
        <w:rPr>
          <w:rFonts w:ascii="Times New Roman" w:hAnsi="Times New Roman" w:cs="Times New Roman"/>
        </w:rPr>
        <w:t xml:space="preserve">The result for Colombia is shown in Figure 2. </w:t>
      </w:r>
    </w:p>
    <w:p w14:paraId="02874E30" w14:textId="15F46A55" w:rsidR="00047463" w:rsidRDefault="00047463" w:rsidP="00047463">
      <w:pPr>
        <w:pStyle w:val="NoSpacing"/>
        <w:rPr>
          <w:rFonts w:ascii="Times New Roman" w:hAnsi="Times New Roman" w:cs="Times New Roman"/>
        </w:rPr>
      </w:pPr>
    </w:p>
    <w:p w14:paraId="428E4E98" w14:textId="77777777" w:rsidR="00D74AF6" w:rsidRDefault="00D74AF6" w:rsidP="00D74AF6">
      <w:pPr>
        <w:pStyle w:val="NoSpacing"/>
        <w:rPr>
          <w:rFonts w:ascii="Times New Roman" w:hAnsi="Times New Roman" w:cs="Times New Roman"/>
        </w:rPr>
      </w:pPr>
    </w:p>
    <w:p w14:paraId="424C423C" w14:textId="77777777" w:rsidR="00D74AF6" w:rsidRDefault="00D74AF6" w:rsidP="00D74AF6">
      <w:pPr>
        <w:pStyle w:val="NoSpacing"/>
        <w:rPr>
          <w:rFonts w:ascii="Times New Roman" w:hAnsi="Times New Roman" w:cs="Times New Roman"/>
        </w:rPr>
      </w:pPr>
    </w:p>
    <w:p w14:paraId="4D03EA86" w14:textId="0295DF5A" w:rsidR="00047463" w:rsidRDefault="00047463" w:rsidP="00D74AF6">
      <w:pPr>
        <w:pStyle w:val="NoSpacing"/>
        <w:ind w:left="2880" w:firstLine="720"/>
        <w:rPr>
          <w:rFonts w:ascii="Times New Roman" w:hAnsi="Times New Roman" w:cs="Times New Roman"/>
        </w:rPr>
      </w:pPr>
      <w:r>
        <w:rPr>
          <w:rFonts w:ascii="Times New Roman" w:hAnsi="Times New Roman" w:cs="Times New Roman"/>
        </w:rPr>
        <w:t>Figure 2</w:t>
      </w:r>
      <w:r w:rsidR="004D73BB">
        <w:rPr>
          <w:rFonts w:ascii="Times New Roman" w:hAnsi="Times New Roman" w:cs="Times New Roman"/>
        </w:rPr>
        <w:t>: Subnational electoral mean and range for Colombia</w:t>
      </w:r>
    </w:p>
    <w:p w14:paraId="7071D9A5" w14:textId="77777777" w:rsidR="00047463" w:rsidRDefault="00047463" w:rsidP="0000218C">
      <w:pPr>
        <w:pStyle w:val="NoSpacing"/>
        <w:rPr>
          <w:rFonts w:ascii="Times New Roman" w:hAnsi="Times New Roman" w:cs="Times New Roman"/>
        </w:rPr>
      </w:pPr>
    </w:p>
    <w:p w14:paraId="079FCDA8" w14:textId="721DFEF8" w:rsidR="0000218C" w:rsidRDefault="004928BA" w:rsidP="00047463">
      <w:pPr>
        <w:pStyle w:val="NoSpacing"/>
        <w:rPr>
          <w:rFonts w:ascii="Times New Roman" w:hAnsi="Times New Roman" w:cs="Times New Roman"/>
        </w:rPr>
      </w:pPr>
      <w:r>
        <w:rPr>
          <w:rFonts w:ascii="Times New Roman" w:hAnsi="Times New Roman" w:cs="Times New Roman"/>
        </w:rPr>
        <w:t xml:space="preserve">We calculate the range </w:t>
      </w:r>
      <w:r w:rsidR="001B50FE">
        <w:rPr>
          <w:rFonts w:ascii="Times New Roman" w:hAnsi="Times New Roman" w:cs="Times New Roman"/>
        </w:rPr>
        <w:t>similarly</w:t>
      </w:r>
      <w:r w:rsidR="0000218C" w:rsidRPr="0000218C">
        <w:rPr>
          <w:rFonts w:ascii="Times New Roman" w:hAnsi="Times New Roman" w:cs="Times New Roman"/>
        </w:rPr>
        <w:t xml:space="preserve"> for</w:t>
      </w:r>
      <w:r>
        <w:rPr>
          <w:rFonts w:ascii="Times New Roman" w:hAnsi="Times New Roman" w:cs="Times New Roman"/>
        </w:rPr>
        <w:t xml:space="preserve"> subnational</w:t>
      </w:r>
      <w:r w:rsidR="0000218C" w:rsidRPr="0000218C">
        <w:rPr>
          <w:rFonts w:ascii="Times New Roman" w:hAnsi="Times New Roman" w:cs="Times New Roman"/>
        </w:rPr>
        <w:t xml:space="preserve"> civil liberties</w:t>
      </w:r>
      <w:r w:rsidR="001B50FE">
        <w:rPr>
          <w:rFonts w:ascii="Times New Roman" w:hAnsi="Times New Roman" w:cs="Times New Roman"/>
        </w:rPr>
        <w:t>, using the measure of unevenness in the protection of civil liberties at the subnational level (v2clrgunev, with its factor levels v2clrgunev_0, v2clrgunev_1, and v2clrgunev_2)</w:t>
      </w:r>
      <w:r w:rsidR="00B7776B">
        <w:rPr>
          <w:rFonts w:ascii="Times New Roman" w:hAnsi="Times New Roman" w:cs="Times New Roman"/>
        </w:rPr>
        <w:t xml:space="preserve"> and its corresponding HPD: </w:t>
      </w:r>
    </w:p>
    <w:p w14:paraId="3D9D2F78" w14:textId="77777777" w:rsidR="006E018A" w:rsidRDefault="006E018A" w:rsidP="006E018A">
      <w:pPr>
        <w:pStyle w:val="NoSpacing"/>
        <w:rPr>
          <w:rFonts w:ascii="Times New Roman" w:hAnsi="Times New Roman" w:cs="Times New Roman"/>
        </w:rPr>
      </w:pPr>
    </w:p>
    <w:p w14:paraId="5232D507" w14:textId="00F17D6B" w:rsidR="006E018A" w:rsidRDefault="00000000" w:rsidP="006E018A">
      <w:pPr>
        <w:pStyle w:val="NoSpacing"/>
        <w:rPr>
          <w:rFonts w:ascii="Times New Roman" w:hAnsi="Times New Roman" w:cs="Times New Roman"/>
        </w:rPr>
      </w:pPr>
      <m:oMathPara>
        <m:oMath>
          <m:sSub>
            <m:sSubPr>
              <m:ctrlPr>
                <w:rPr>
                  <w:rFonts w:ascii="Cambria Math" w:hAnsi="Cambria Math" w:cs="Times New Roman"/>
                  <w:i/>
                  <w:sz w:val="20"/>
                  <w:szCs w:val="20"/>
                </w:rPr>
              </m:ctrlPr>
            </m:sSubPr>
            <m:e>
              <m:r>
                <w:rPr>
                  <w:rFonts w:ascii="Cambria Math" w:hAnsi="Cambria Math" w:cs="Times New Roman"/>
                  <w:sz w:val="20"/>
                  <w:szCs w:val="20"/>
                </w:rPr>
                <m:t>Range</m:t>
              </m:r>
            </m:e>
            <m:sub>
              <m:r>
                <w:rPr>
                  <w:rFonts w:ascii="Cambria Math" w:hAnsi="Cambria Math" w:cs="Times New Roman"/>
                  <w:sz w:val="20"/>
                  <w:szCs w:val="20"/>
                </w:rPr>
                <m:t>it</m:t>
              </m:r>
            </m:sub>
          </m:sSub>
          <m:r>
            <w:rPr>
              <w:rFonts w:ascii="Cambria Math" w:hAnsi="Cambria Math" w:cs="Times New Roman"/>
              <w:sz w:val="20"/>
              <w:szCs w:val="20"/>
            </w:rPr>
            <m:t xml:space="preserve">= </m:t>
          </m:r>
          <m:nary>
            <m:naryPr>
              <m:chr m:val="∑"/>
              <m:limLoc m:val="undOvr"/>
              <m:ctrlPr>
                <w:rPr>
                  <w:rFonts w:ascii="Cambria Math" w:hAnsi="Cambria Math" w:cs="Times New Roman"/>
                  <w:i/>
                  <w:sz w:val="20"/>
                  <w:szCs w:val="20"/>
                </w:rPr>
              </m:ctrlPr>
            </m:naryPr>
            <m:sub>
              <m:r>
                <w:rPr>
                  <w:rFonts w:ascii="Cambria Math" w:hAnsi="Cambria Math" w:cs="Times New Roman"/>
                  <w:sz w:val="20"/>
                  <w:szCs w:val="20"/>
                </w:rPr>
                <m:t>1</m:t>
              </m:r>
            </m:sub>
            <m:sup>
              <m:r>
                <w:rPr>
                  <w:rFonts w:ascii="Cambria Math" w:hAnsi="Cambria Math" w:cs="Times New Roman"/>
                  <w:sz w:val="20"/>
                  <w:szCs w:val="20"/>
                </w:rPr>
                <m:t>c</m:t>
              </m:r>
            </m:sup>
            <m:e>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HPD</m:t>
                      </m:r>
                    </m:e>
                    <m:sub>
                      <m:r>
                        <w:rPr>
                          <w:rFonts w:ascii="Cambria Math" w:hAnsi="Cambria Math" w:cs="Times New Roman"/>
                          <w:sz w:val="20"/>
                          <w:szCs w:val="20"/>
                        </w:rPr>
                        <m:t>it</m:t>
                      </m:r>
                    </m:sub>
                  </m:sSub>
                  <m:r>
                    <w:rPr>
                      <w:rFonts w:ascii="Cambria Math" w:hAnsi="Cambria Math" w:cs="Times New Roman"/>
                      <w:sz w:val="20"/>
                      <w:szCs w:val="20"/>
                    </w:rPr>
                    <m:t>*[</m:t>
                  </m:r>
                  <m:d>
                    <m:dPr>
                      <m:ctrlPr>
                        <w:rPr>
                          <w:rFonts w:ascii="Cambria Math" w:hAnsi="Cambria Math" w:cs="Times New Roman"/>
                          <w:i/>
                          <w:sz w:val="20"/>
                          <w:szCs w:val="20"/>
                        </w:rPr>
                      </m:ctrlPr>
                    </m:dPr>
                    <m:e>
                      <m:r>
                        <w:rPr>
                          <w:rFonts w:ascii="Cambria Math" w:hAnsi="Cambria Math" w:cs="Times New Roman"/>
                          <w:sz w:val="20"/>
                          <w:szCs w:val="20"/>
                        </w:rPr>
                        <m:t>2-</m:t>
                      </m:r>
                      <m:sSub>
                        <m:sSubPr>
                          <m:ctrlPr>
                            <w:rPr>
                              <w:rFonts w:ascii="Cambria Math" w:hAnsi="Cambria Math" w:cs="Times New Roman"/>
                              <w:i/>
                              <w:sz w:val="20"/>
                              <w:szCs w:val="20"/>
                            </w:rPr>
                          </m:ctrlPr>
                        </m:sSubPr>
                        <m:e>
                          <m:r>
                            <w:rPr>
                              <w:rFonts w:ascii="Cambria Math" w:hAnsi="Cambria Math" w:cs="Times New Roman"/>
                              <w:sz w:val="20"/>
                              <w:szCs w:val="20"/>
                            </w:rPr>
                            <m:t>v2clrgunev_1</m:t>
                          </m:r>
                        </m:e>
                        <m:sub>
                          <m:r>
                            <w:rPr>
                              <w:rFonts w:ascii="Cambria Math" w:hAnsi="Cambria Math" w:cs="Times New Roman"/>
                              <w:sz w:val="20"/>
                              <w:szCs w:val="20"/>
                            </w:rPr>
                            <m:t>itc</m:t>
                          </m:r>
                        </m:sub>
                      </m:sSub>
                    </m:e>
                  </m:d>
                  <m:r>
                    <w:rPr>
                      <w:rFonts w:ascii="Cambria Math" w:hAnsi="Cambria Math" w:cs="Times New Roman"/>
                      <w:sz w:val="20"/>
                      <w:szCs w:val="20"/>
                    </w:rPr>
                    <m:t>+2*</m:t>
                  </m:r>
                  <m:d>
                    <m:dPr>
                      <m:ctrlPr>
                        <w:rPr>
                          <w:rFonts w:ascii="Cambria Math" w:hAnsi="Cambria Math" w:cs="Times New Roman"/>
                          <w:i/>
                          <w:sz w:val="20"/>
                          <w:szCs w:val="20"/>
                        </w:rPr>
                      </m:ctrlPr>
                    </m:dPr>
                    <m:e>
                      <m:r>
                        <w:rPr>
                          <w:rFonts w:ascii="Cambria Math" w:hAnsi="Cambria Math" w:cs="Times New Roman"/>
                          <w:sz w:val="20"/>
                          <w:szCs w:val="20"/>
                        </w:rPr>
                        <m:t>2-</m:t>
                      </m:r>
                      <m:sSub>
                        <m:sSubPr>
                          <m:ctrlPr>
                            <w:rPr>
                              <w:rFonts w:ascii="Cambria Math" w:hAnsi="Cambria Math" w:cs="Times New Roman"/>
                              <w:i/>
                              <w:sz w:val="20"/>
                              <w:szCs w:val="20"/>
                            </w:rPr>
                          </m:ctrlPr>
                        </m:sSubPr>
                        <m:e>
                          <m:r>
                            <w:rPr>
                              <w:rFonts w:ascii="Cambria Math" w:hAnsi="Cambria Math" w:cs="Times New Roman"/>
                              <w:sz w:val="20"/>
                              <w:szCs w:val="20"/>
                            </w:rPr>
                            <m:t>v2clrgunev_2</m:t>
                          </m:r>
                        </m:e>
                        <m:sub>
                          <m:r>
                            <w:rPr>
                              <w:rFonts w:ascii="Cambria Math" w:hAnsi="Cambria Math" w:cs="Times New Roman"/>
                              <w:sz w:val="20"/>
                              <w:szCs w:val="20"/>
                            </w:rPr>
                            <m:t>itc</m:t>
                          </m:r>
                        </m:sub>
                      </m:sSub>
                    </m:e>
                  </m:d>
                  <m:r>
                    <w:rPr>
                      <w:rFonts w:ascii="Cambria Math" w:hAnsi="Cambria Math" w:cs="Times New Roman"/>
                      <w:sz w:val="20"/>
                      <w:szCs w:val="20"/>
                    </w:rPr>
                    <m:t>]</m:t>
                  </m:r>
                </m:num>
                <m:den>
                  <m:sSub>
                    <m:sSubPr>
                      <m:ctrlPr>
                        <w:rPr>
                          <w:rFonts w:ascii="Cambria Math" w:hAnsi="Cambria Math" w:cs="Times New Roman"/>
                          <w:i/>
                          <w:sz w:val="20"/>
                          <w:szCs w:val="20"/>
                        </w:rPr>
                      </m:ctrlPr>
                    </m:sSubPr>
                    <m:e>
                      <m:r>
                        <w:rPr>
                          <w:rFonts w:ascii="Cambria Math" w:hAnsi="Cambria Math" w:cs="Times New Roman"/>
                          <w:sz w:val="20"/>
                          <w:szCs w:val="20"/>
                        </w:rPr>
                        <m:t>v2clrgunev_0</m:t>
                      </m:r>
                    </m:e>
                    <m:sub>
                      <m:r>
                        <w:rPr>
                          <w:rFonts w:ascii="Cambria Math" w:hAnsi="Cambria Math" w:cs="Times New Roman"/>
                          <w:sz w:val="20"/>
                          <w:szCs w:val="20"/>
                        </w:rPr>
                        <m:t>itc</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v2clrgunev_1</m:t>
                      </m:r>
                    </m:e>
                    <m:sub>
                      <m:r>
                        <w:rPr>
                          <w:rFonts w:ascii="Cambria Math" w:hAnsi="Cambria Math" w:cs="Times New Roman"/>
                          <w:sz w:val="20"/>
                          <w:szCs w:val="20"/>
                        </w:rPr>
                        <m:t>itc</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v2clrgunev_2</m:t>
                      </m:r>
                    </m:e>
                    <m:sub>
                      <m:r>
                        <w:rPr>
                          <w:rFonts w:ascii="Cambria Math" w:hAnsi="Cambria Math" w:cs="Times New Roman"/>
                          <w:sz w:val="20"/>
                          <w:szCs w:val="20"/>
                        </w:rPr>
                        <m:t>itc</m:t>
                      </m:r>
                    </m:sub>
                  </m:sSub>
                </m:den>
              </m:f>
            </m:e>
          </m:nary>
        </m:oMath>
      </m:oMathPara>
    </w:p>
    <w:p w14:paraId="03233D7F" w14:textId="77777777" w:rsidR="006E018A" w:rsidRDefault="006E018A" w:rsidP="006E018A">
      <w:pPr>
        <w:pStyle w:val="NoSpacing"/>
        <w:rPr>
          <w:rFonts w:ascii="Times New Roman" w:hAnsi="Times New Roman" w:cs="Times New Roman"/>
        </w:rPr>
      </w:pPr>
    </w:p>
    <w:p w14:paraId="51AF21FB" w14:textId="46B781CF" w:rsidR="006E018A" w:rsidRDefault="006E018A" w:rsidP="00047463">
      <w:pPr>
        <w:pStyle w:val="NoSpacing"/>
        <w:rPr>
          <w:rFonts w:ascii="Times New Roman" w:hAnsi="Times New Roman" w:cs="Times New Roman"/>
        </w:rPr>
      </w:pPr>
    </w:p>
    <w:p w14:paraId="08FBC40F" w14:textId="04A8D03A" w:rsidR="006E018A" w:rsidRDefault="001B50FE" w:rsidP="00047463">
      <w:pPr>
        <w:pStyle w:val="NoSpacing"/>
        <w:rPr>
          <w:rFonts w:ascii="Times New Roman" w:hAnsi="Times New Roman" w:cs="Times New Roman"/>
        </w:rPr>
      </w:pPr>
      <w:r>
        <w:rPr>
          <w:rFonts w:ascii="Times New Roman" w:hAnsi="Times New Roman" w:cs="Times New Roman"/>
        </w:rPr>
        <w:t>This range is added to a measure of the national average protection for civil liberties at the subnational level. Because V-Dem lacks a variable to measure exactly this concept, we substitute a proxy. V-Dem does provide an estimate of the percentage of the subnational population that enjoys less protection of civil liberties than the national population (</w:t>
      </w:r>
      <w:r w:rsidRPr="001B50FE">
        <w:rPr>
          <w:rFonts w:ascii="Times New Roman" w:hAnsi="Times New Roman" w:cs="Times New Roman"/>
        </w:rPr>
        <w:t>v2clsnlpct</w:t>
      </w:r>
      <w:r>
        <w:rPr>
          <w:rFonts w:ascii="Times New Roman" w:hAnsi="Times New Roman" w:cs="Times New Roman"/>
        </w:rPr>
        <w:t>). The national-level index of civil liberties</w:t>
      </w:r>
      <w:r w:rsidR="00B7776B">
        <w:rPr>
          <w:rFonts w:ascii="Times New Roman" w:hAnsi="Times New Roman" w:cs="Times New Roman"/>
        </w:rPr>
        <w:t xml:space="preserve"> is </w:t>
      </w:r>
      <w:r w:rsidRPr="001B50FE">
        <w:rPr>
          <w:rFonts w:ascii="Times New Roman" w:hAnsi="Times New Roman" w:cs="Times New Roman"/>
        </w:rPr>
        <w:t>v2x_civlib</w:t>
      </w:r>
      <w:r>
        <w:rPr>
          <w:rFonts w:ascii="Times New Roman" w:hAnsi="Times New Roman" w:cs="Times New Roman"/>
        </w:rPr>
        <w:t xml:space="preserve">. We can therefore subtract the product of </w:t>
      </w:r>
      <w:r w:rsidR="00B7776B">
        <w:rPr>
          <w:rFonts w:ascii="Times New Roman" w:hAnsi="Times New Roman" w:cs="Times New Roman"/>
        </w:rPr>
        <w:t>v2x_</w:t>
      </w:r>
      <w:r w:rsidR="00B7776B" w:rsidRPr="001B50FE">
        <w:rPr>
          <w:rFonts w:ascii="Times New Roman" w:hAnsi="Times New Roman" w:cs="Times New Roman"/>
        </w:rPr>
        <w:t>civlib</w:t>
      </w:r>
      <w:r w:rsidR="00B7776B">
        <w:rPr>
          <w:rFonts w:ascii="Times New Roman" w:hAnsi="Times New Roman" w:cs="Times New Roman"/>
        </w:rPr>
        <w:t xml:space="preserve"> </w:t>
      </w:r>
      <w:r>
        <w:rPr>
          <w:rFonts w:ascii="Times New Roman" w:hAnsi="Times New Roman" w:cs="Times New Roman"/>
        </w:rPr>
        <w:t xml:space="preserve">by </w:t>
      </w:r>
      <w:r w:rsidR="00B7776B">
        <w:rPr>
          <w:rFonts w:ascii="Times New Roman" w:hAnsi="Times New Roman" w:cs="Times New Roman"/>
        </w:rPr>
        <w:t xml:space="preserve">one minus </w:t>
      </w:r>
      <w:r>
        <w:rPr>
          <w:rFonts w:ascii="Times New Roman" w:hAnsi="Times New Roman" w:cs="Times New Roman"/>
        </w:rPr>
        <w:t>the weaker percentage</w:t>
      </w:r>
      <w:r w:rsidR="00B7776B">
        <w:rPr>
          <w:rFonts w:ascii="Times New Roman" w:hAnsi="Times New Roman" w:cs="Times New Roman"/>
        </w:rPr>
        <w:t xml:space="preserve"> (divided by 100, to be a proportion)</w:t>
      </w:r>
      <w:r>
        <w:rPr>
          <w:rFonts w:ascii="Times New Roman" w:hAnsi="Times New Roman" w:cs="Times New Roman"/>
        </w:rPr>
        <w:t xml:space="preserve"> from the national civil liberties index to obtain an estimate of the subnational average. </w:t>
      </w:r>
      <w:r w:rsidR="00B7776B">
        <w:rPr>
          <w:rFonts w:ascii="Times New Roman" w:hAnsi="Times New Roman" w:cs="Times New Roman"/>
        </w:rPr>
        <w:t xml:space="preserve">Thus, we estimate the </w:t>
      </w:r>
      <w:r w:rsidR="00797794">
        <w:rPr>
          <w:rFonts w:ascii="Times New Roman" w:hAnsi="Times New Roman" w:cs="Times New Roman"/>
        </w:rPr>
        <w:t xml:space="preserve">maximum </w:t>
      </w:r>
      <w:r w:rsidR="00B7776B">
        <w:rPr>
          <w:rFonts w:ascii="Times New Roman" w:hAnsi="Times New Roman" w:cs="Times New Roman"/>
        </w:rPr>
        <w:t>range around the subnational average for civil liberties as</w:t>
      </w:r>
    </w:p>
    <w:p w14:paraId="5AF945A9" w14:textId="7EBB8E1F" w:rsidR="001B50FE" w:rsidRDefault="00B7776B" w:rsidP="00047463">
      <w:pPr>
        <w:pStyle w:val="NoSpacing"/>
        <w:rPr>
          <w:rFonts w:ascii="Times New Roman" w:hAnsi="Times New Roman" w:cs="Times New Roman"/>
        </w:rPr>
      </w:pPr>
      <w:r>
        <w:rPr>
          <w:rFonts w:ascii="Times New Roman" w:hAnsi="Times New Roman" w:cs="Times New Roman"/>
        </w:rPr>
        <w:t>[v2x_</w:t>
      </w:r>
      <w:r w:rsidRPr="001B50FE">
        <w:rPr>
          <w:rFonts w:ascii="Times New Roman" w:hAnsi="Times New Roman" w:cs="Times New Roman"/>
        </w:rPr>
        <w:t>civlib</w:t>
      </w:r>
      <w:r w:rsidRPr="00B7776B">
        <w:rPr>
          <w:rFonts w:ascii="Times New Roman" w:hAnsi="Times New Roman" w:cs="Times New Roman"/>
          <w:vertAlign w:val="subscript"/>
        </w:rPr>
        <w:t>it</w:t>
      </w:r>
      <w:r>
        <w:rPr>
          <w:rFonts w:ascii="Times New Roman" w:hAnsi="Times New Roman" w:cs="Times New Roman"/>
        </w:rPr>
        <w:t xml:space="preserve"> * (1-v2clsnlpct</w:t>
      </w:r>
      <w:r w:rsidRPr="00B7776B">
        <w:rPr>
          <w:rFonts w:ascii="Times New Roman" w:hAnsi="Times New Roman" w:cs="Times New Roman"/>
          <w:vertAlign w:val="subscript"/>
        </w:rPr>
        <w:t>it</w:t>
      </w:r>
      <w:r>
        <w:rPr>
          <w:rFonts w:ascii="Times New Roman" w:hAnsi="Times New Roman" w:cs="Times New Roman"/>
        </w:rPr>
        <w:t>/100) + R</w:t>
      </w:r>
      <w:r w:rsidRPr="00AE1F9C">
        <w:rPr>
          <w:rFonts w:ascii="Times New Roman" w:hAnsi="Times New Roman" w:cs="Times New Roman"/>
        </w:rPr>
        <w:t>ange</w:t>
      </w:r>
      <w:r w:rsidRPr="00AE1F9C">
        <w:rPr>
          <w:rFonts w:ascii="Times New Roman" w:hAnsi="Times New Roman" w:cs="Times New Roman"/>
          <w:vertAlign w:val="subscript"/>
        </w:rPr>
        <w:t>it</w:t>
      </w:r>
      <w:r>
        <w:rPr>
          <w:rFonts w:ascii="Times New Roman" w:hAnsi="Times New Roman" w:cs="Times New Roman"/>
        </w:rPr>
        <w:t>, v2x_</w:t>
      </w:r>
      <w:r w:rsidRPr="001B50FE">
        <w:rPr>
          <w:rFonts w:ascii="Times New Roman" w:hAnsi="Times New Roman" w:cs="Times New Roman"/>
        </w:rPr>
        <w:t>civlib</w:t>
      </w:r>
      <w:r w:rsidRPr="00B7776B">
        <w:rPr>
          <w:rFonts w:ascii="Times New Roman" w:hAnsi="Times New Roman" w:cs="Times New Roman"/>
          <w:vertAlign w:val="subscript"/>
        </w:rPr>
        <w:t>it</w:t>
      </w:r>
      <w:r>
        <w:rPr>
          <w:rFonts w:ascii="Times New Roman" w:hAnsi="Times New Roman" w:cs="Times New Roman"/>
        </w:rPr>
        <w:t xml:space="preserve"> * (1-v2clsnlpct</w:t>
      </w:r>
      <w:r w:rsidRPr="00B7776B">
        <w:rPr>
          <w:rFonts w:ascii="Times New Roman" w:hAnsi="Times New Roman" w:cs="Times New Roman"/>
          <w:vertAlign w:val="subscript"/>
        </w:rPr>
        <w:t>it</w:t>
      </w:r>
      <w:r>
        <w:rPr>
          <w:rFonts w:ascii="Times New Roman" w:hAnsi="Times New Roman" w:cs="Times New Roman"/>
        </w:rPr>
        <w:t>/100) –</w:t>
      </w:r>
      <w:r w:rsidRPr="00AE1F9C">
        <w:rPr>
          <w:rFonts w:ascii="Times New Roman" w:hAnsi="Times New Roman" w:cs="Times New Roman"/>
        </w:rPr>
        <w:t xml:space="preserve"> </w:t>
      </w:r>
      <w:r>
        <w:rPr>
          <w:rFonts w:ascii="Times New Roman" w:hAnsi="Times New Roman" w:cs="Times New Roman"/>
        </w:rPr>
        <w:t>R</w:t>
      </w:r>
      <w:r w:rsidRPr="00AE1F9C">
        <w:rPr>
          <w:rFonts w:ascii="Times New Roman" w:hAnsi="Times New Roman" w:cs="Times New Roman"/>
        </w:rPr>
        <w:t>ange</w:t>
      </w:r>
      <w:r w:rsidRPr="00AE1F9C">
        <w:rPr>
          <w:rFonts w:ascii="Times New Roman" w:hAnsi="Times New Roman" w:cs="Times New Roman"/>
          <w:vertAlign w:val="subscript"/>
        </w:rPr>
        <w:t>it</w:t>
      </w:r>
      <w:r>
        <w:rPr>
          <w:rFonts w:ascii="Times New Roman" w:hAnsi="Times New Roman" w:cs="Times New Roman"/>
        </w:rPr>
        <w:t>].</w:t>
      </w:r>
    </w:p>
    <w:p w14:paraId="43A96377" w14:textId="5A46DBA6" w:rsidR="005259B3" w:rsidRPr="0000218C" w:rsidRDefault="005259B3" w:rsidP="00047463">
      <w:pPr>
        <w:pStyle w:val="NoSpacing"/>
        <w:rPr>
          <w:rFonts w:ascii="Times New Roman" w:hAnsi="Times New Roman" w:cs="Times New Roman"/>
        </w:rPr>
      </w:pPr>
    </w:p>
    <w:p w14:paraId="77341E46" w14:textId="5953FCED" w:rsidR="00797794" w:rsidRDefault="00D74AF6" w:rsidP="0000218C">
      <w:pPr>
        <w:pStyle w:val="NoSpacing"/>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0" locked="0" layoutInCell="1" allowOverlap="1" wp14:anchorId="73FC5EA9" wp14:editId="0DB4EA0A">
            <wp:simplePos x="0" y="0"/>
            <wp:positionH relativeFrom="margin">
              <wp:posOffset>1839595</wp:posOffset>
            </wp:positionH>
            <wp:positionV relativeFrom="paragraph">
              <wp:posOffset>76835</wp:posOffset>
            </wp:positionV>
            <wp:extent cx="4105910" cy="2736850"/>
            <wp:effectExtent l="0" t="0" r="8890" b="635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05910" cy="2736850"/>
                    </a:xfrm>
                    <a:prstGeom prst="rect">
                      <a:avLst/>
                    </a:prstGeom>
                  </pic:spPr>
                </pic:pic>
              </a:graphicData>
            </a:graphic>
            <wp14:sizeRelH relativeFrom="margin">
              <wp14:pctWidth>0</wp14:pctWidth>
            </wp14:sizeRelH>
            <wp14:sizeRelV relativeFrom="margin">
              <wp14:pctHeight>0</wp14:pctHeight>
            </wp14:sizeRelV>
          </wp:anchor>
        </w:drawing>
      </w:r>
    </w:p>
    <w:p w14:paraId="73023BBC" w14:textId="09428E26" w:rsidR="00B7776B" w:rsidRDefault="00797794" w:rsidP="0000218C">
      <w:pPr>
        <w:pStyle w:val="NoSpacing"/>
        <w:rPr>
          <w:rFonts w:ascii="Times New Roman" w:hAnsi="Times New Roman" w:cs="Times New Roman"/>
        </w:rPr>
      </w:pPr>
      <w:r>
        <w:rPr>
          <w:rFonts w:ascii="Times New Roman" w:hAnsi="Times New Roman" w:cs="Times New Roman"/>
        </w:rPr>
        <w:t xml:space="preserve">Figure 3 displays the result of this operation. </w:t>
      </w:r>
    </w:p>
    <w:p w14:paraId="643E84BC" w14:textId="36672F37" w:rsidR="00797794" w:rsidRDefault="00797794" w:rsidP="0000218C">
      <w:pPr>
        <w:pStyle w:val="NoSpacing"/>
        <w:rPr>
          <w:rFonts w:ascii="Times New Roman" w:hAnsi="Times New Roman" w:cs="Times New Roman"/>
        </w:rPr>
      </w:pPr>
    </w:p>
    <w:p w14:paraId="4C19B2F2" w14:textId="10F2D565" w:rsidR="00797794" w:rsidRDefault="00797794" w:rsidP="0000218C">
      <w:pPr>
        <w:pStyle w:val="NoSpacing"/>
        <w:rPr>
          <w:rFonts w:ascii="Times New Roman" w:hAnsi="Times New Roman" w:cs="Times New Roman"/>
        </w:rPr>
      </w:pPr>
    </w:p>
    <w:p w14:paraId="4EF1313F" w14:textId="15FB2883" w:rsidR="00797794" w:rsidRDefault="00797794" w:rsidP="0000218C">
      <w:pPr>
        <w:pStyle w:val="NoSpacing"/>
        <w:rPr>
          <w:rFonts w:ascii="Times New Roman" w:hAnsi="Times New Roman" w:cs="Times New Roman"/>
        </w:rPr>
      </w:pPr>
    </w:p>
    <w:p w14:paraId="5F4DEF46" w14:textId="4BE1276C" w:rsidR="00797794" w:rsidRDefault="00797794" w:rsidP="0000218C">
      <w:pPr>
        <w:pStyle w:val="NoSpacing"/>
        <w:rPr>
          <w:rFonts w:ascii="Times New Roman" w:hAnsi="Times New Roman" w:cs="Times New Roman"/>
        </w:rPr>
      </w:pPr>
    </w:p>
    <w:p w14:paraId="17B22FA8" w14:textId="29DAF635" w:rsidR="00797794" w:rsidRDefault="00797794" w:rsidP="0000218C">
      <w:pPr>
        <w:pStyle w:val="NoSpacing"/>
        <w:rPr>
          <w:rFonts w:ascii="Times New Roman" w:hAnsi="Times New Roman" w:cs="Times New Roman"/>
        </w:rPr>
      </w:pPr>
    </w:p>
    <w:p w14:paraId="50240F3E" w14:textId="12699C03" w:rsidR="00797794" w:rsidRDefault="00797794" w:rsidP="0000218C">
      <w:pPr>
        <w:pStyle w:val="NoSpacing"/>
        <w:rPr>
          <w:rFonts w:ascii="Times New Roman" w:hAnsi="Times New Roman" w:cs="Times New Roman"/>
        </w:rPr>
      </w:pPr>
    </w:p>
    <w:p w14:paraId="7892D470" w14:textId="33ECB31E" w:rsidR="00797794" w:rsidRDefault="00797794" w:rsidP="0000218C">
      <w:pPr>
        <w:pStyle w:val="NoSpacing"/>
        <w:rPr>
          <w:rFonts w:ascii="Times New Roman" w:hAnsi="Times New Roman" w:cs="Times New Roman"/>
        </w:rPr>
      </w:pPr>
    </w:p>
    <w:p w14:paraId="1AA04511" w14:textId="11865560" w:rsidR="00797794" w:rsidRDefault="00797794" w:rsidP="0000218C">
      <w:pPr>
        <w:pStyle w:val="NoSpacing"/>
        <w:rPr>
          <w:rFonts w:ascii="Times New Roman" w:hAnsi="Times New Roman" w:cs="Times New Roman"/>
        </w:rPr>
      </w:pPr>
    </w:p>
    <w:p w14:paraId="69860031" w14:textId="54C23A1B" w:rsidR="00797794" w:rsidRDefault="00797794" w:rsidP="0000218C">
      <w:pPr>
        <w:pStyle w:val="NoSpacing"/>
        <w:rPr>
          <w:rFonts w:ascii="Times New Roman" w:hAnsi="Times New Roman" w:cs="Times New Roman"/>
        </w:rPr>
      </w:pPr>
    </w:p>
    <w:p w14:paraId="3A3C03A3" w14:textId="2B645849" w:rsidR="00797794" w:rsidRDefault="00797794" w:rsidP="0000218C">
      <w:pPr>
        <w:pStyle w:val="NoSpacing"/>
        <w:rPr>
          <w:rFonts w:ascii="Times New Roman" w:hAnsi="Times New Roman" w:cs="Times New Roman"/>
        </w:rPr>
      </w:pPr>
    </w:p>
    <w:p w14:paraId="439BBAB7" w14:textId="4856E249" w:rsidR="00797794" w:rsidRDefault="00797794" w:rsidP="0000218C">
      <w:pPr>
        <w:pStyle w:val="NoSpacing"/>
        <w:rPr>
          <w:rFonts w:ascii="Times New Roman" w:hAnsi="Times New Roman" w:cs="Times New Roman"/>
        </w:rPr>
      </w:pPr>
    </w:p>
    <w:p w14:paraId="4833E243" w14:textId="097BF2B8" w:rsidR="00797794" w:rsidRDefault="00797794" w:rsidP="0000218C">
      <w:pPr>
        <w:pStyle w:val="NoSpacing"/>
        <w:rPr>
          <w:rFonts w:ascii="Times New Roman" w:hAnsi="Times New Roman" w:cs="Times New Roman"/>
        </w:rPr>
      </w:pPr>
    </w:p>
    <w:p w14:paraId="7479A643" w14:textId="77777777" w:rsidR="00D74AF6" w:rsidRDefault="00D74AF6" w:rsidP="00D74AF6">
      <w:pPr>
        <w:pStyle w:val="NoSpacing"/>
        <w:rPr>
          <w:rFonts w:ascii="Times New Roman" w:hAnsi="Times New Roman" w:cs="Times New Roman"/>
        </w:rPr>
      </w:pPr>
    </w:p>
    <w:p w14:paraId="7C0A92DC" w14:textId="77777777" w:rsidR="00D74AF6" w:rsidRDefault="00D74AF6" w:rsidP="00D74AF6">
      <w:pPr>
        <w:pStyle w:val="NoSpacing"/>
        <w:rPr>
          <w:rFonts w:ascii="Times New Roman" w:hAnsi="Times New Roman" w:cs="Times New Roman"/>
        </w:rPr>
      </w:pPr>
    </w:p>
    <w:p w14:paraId="731B302B" w14:textId="79EC5F22" w:rsidR="00797794" w:rsidRDefault="00797794" w:rsidP="00D74AF6">
      <w:pPr>
        <w:pStyle w:val="NoSpacing"/>
        <w:ind w:left="5760" w:firstLine="720"/>
        <w:rPr>
          <w:rFonts w:ascii="Times New Roman" w:hAnsi="Times New Roman" w:cs="Times New Roman"/>
        </w:rPr>
      </w:pPr>
      <w:r>
        <w:rPr>
          <w:rFonts w:ascii="Times New Roman" w:hAnsi="Times New Roman" w:cs="Times New Roman"/>
        </w:rPr>
        <w:t>Figure 3</w:t>
      </w:r>
    </w:p>
    <w:p w14:paraId="604687DA" w14:textId="0CD6A145" w:rsidR="00797794" w:rsidRDefault="00797794" w:rsidP="0000218C">
      <w:pPr>
        <w:pStyle w:val="NoSpacing"/>
        <w:rPr>
          <w:rFonts w:ascii="Times New Roman" w:hAnsi="Times New Roman" w:cs="Times New Roman"/>
        </w:rPr>
      </w:pPr>
    </w:p>
    <w:p w14:paraId="46327541" w14:textId="77777777" w:rsidR="00D74AF6" w:rsidRDefault="00D74AF6" w:rsidP="0000218C">
      <w:pPr>
        <w:pStyle w:val="NoSpacing"/>
        <w:rPr>
          <w:rFonts w:ascii="Times New Roman" w:hAnsi="Times New Roman" w:cs="Times New Roman"/>
        </w:rPr>
      </w:pPr>
    </w:p>
    <w:p w14:paraId="53C93DE3" w14:textId="76D10629" w:rsidR="00E06ABD" w:rsidRDefault="00E06ABD" w:rsidP="00E06ABD">
      <w:pPr>
        <w:ind w:firstLine="720"/>
        <w:rPr>
          <w:rFonts w:ascii="Times New Roman" w:hAnsi="Times New Roman" w:cs="Times New Roman"/>
        </w:rPr>
      </w:pPr>
      <w:r w:rsidRPr="00E06ABD">
        <w:rPr>
          <w:rFonts w:ascii="Times New Roman" w:hAnsi="Times New Roman" w:cs="Times New Roman"/>
        </w:rPr>
        <w:t>For both civil liberties and free and fair elections, the characteristics of each location determine how much it varies within that maximum national range. To complete the calibration of the data for cross-national comparisons, the subnational estimates such as those we have generated for Colombia can be centered around the means of their respective series and rescaled to fit within their ranges. The rescaled subnational values are the national mean plus the deviations of the local value from the local mean times the ratio of the national range to the local range: </w:t>
      </w:r>
    </w:p>
    <w:p w14:paraId="2C7096E2" w14:textId="069DDD05" w:rsidR="00E06ABD" w:rsidRPr="00E06ABD" w:rsidRDefault="00E06ABD" w:rsidP="00E06ABD">
      <w:pPr>
        <w:rPr>
          <w:rFonts w:ascii="Times New Roman" w:hAnsi="Times New Roman" w:cs="Times New Roman"/>
        </w:rPr>
      </w:pPr>
      <m:oMathPara>
        <m:oMath>
          <m:r>
            <w:rPr>
              <w:rFonts w:ascii="Cambria Math" w:hAnsi="Cambria Math" w:cs="Times New Roman"/>
            </w:rPr>
            <m:t xml:space="preserve">Rescaled </m:t>
          </m:r>
          <m:sSub>
            <m:sSubPr>
              <m:ctrlPr>
                <w:rPr>
                  <w:rFonts w:ascii="Cambria Math" w:hAnsi="Cambria Math" w:cs="Times New Roman"/>
                  <w:i/>
                </w:rPr>
              </m:ctrlPr>
            </m:sSubPr>
            <m:e>
              <m:r>
                <w:rPr>
                  <w:rFonts w:ascii="Cambria Math" w:hAnsi="Cambria Math" w:cs="Times New Roman"/>
                </w:rPr>
                <m:t>Index</m:t>
              </m:r>
            </m:e>
            <m:sub>
              <m:r>
                <w:rPr>
                  <w:rFonts w:ascii="Cambria Math" w:hAnsi="Cambria Math" w:cs="Times New Roman"/>
                </w:rPr>
                <m:t>m,t</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Index</m:t>
              </m:r>
            </m:e>
            <m:sub>
              <m:r>
                <w:rPr>
                  <w:rFonts w:ascii="Cambria Math" w:hAnsi="Cambria Math" w:cs="Times New Roman"/>
                </w:rPr>
                <m:t>c,t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Index</m:t>
              </m:r>
            </m:e>
            <m:sub>
              <m:r>
                <w:rPr>
                  <w:rFonts w:ascii="Cambria Math" w:hAnsi="Cambria Math" w:cs="Times New Roman"/>
                </w:rPr>
                <m:t>m,t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mean Index</m:t>
              </m:r>
            </m:e>
            <m:sub>
              <m:r>
                <w:rPr>
                  <w:rFonts w:ascii="Cambria Math" w:hAnsi="Cambria Math" w:cs="Times New Roman"/>
                </w:rPr>
                <m:t>m,t</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Range</m:t>
                  </m:r>
                </m:e>
                <m:sub>
                  <m:r>
                    <w:rPr>
                      <w:rFonts w:ascii="Cambria Math" w:hAnsi="Cambria Math" w:cs="Times New Roman"/>
                    </w:rPr>
                    <m:t>c,t</m:t>
                  </m:r>
                </m:sub>
              </m:sSub>
            </m:num>
            <m:den>
              <m:sSub>
                <m:sSubPr>
                  <m:ctrlPr>
                    <w:rPr>
                      <w:rFonts w:ascii="Cambria Math" w:hAnsi="Cambria Math" w:cs="Times New Roman"/>
                      <w:i/>
                    </w:rPr>
                  </m:ctrlPr>
                </m:sSubPr>
                <m:e>
                  <m:r>
                    <m:rPr>
                      <m:sty m:val="p"/>
                    </m:rPr>
                    <w:rPr>
                      <w:rFonts w:ascii="Cambria Math" w:hAnsi="Cambria Math" w:cs="Times New Roman"/>
                    </w:rPr>
                    <m:t xml:space="preserve">central 95% range of </m:t>
                  </m:r>
                  <m:r>
                    <w:rPr>
                      <w:rFonts w:ascii="Cambria Math" w:hAnsi="Cambria Math" w:cs="Times New Roman"/>
                    </w:rPr>
                    <m:t>Index</m:t>
                  </m:r>
                </m:e>
                <m:sub>
                  <m:r>
                    <w:rPr>
                      <w:rFonts w:ascii="Cambria Math" w:hAnsi="Cambria Math" w:cs="Times New Roman"/>
                    </w:rPr>
                    <m:t>m,t</m:t>
                  </m:r>
                </m:sub>
              </m:sSub>
            </m:den>
          </m:f>
        </m:oMath>
      </m:oMathPara>
    </w:p>
    <w:p w14:paraId="265A8ECA" w14:textId="1EEC3CBA" w:rsidR="001A688E" w:rsidRDefault="006D113D" w:rsidP="001A688E">
      <w:pPr>
        <w:rPr>
          <w:rFonts w:ascii="Times New Roman" w:hAnsi="Times New Roman" w:cs="Times New Roman"/>
        </w:rPr>
      </w:pPr>
      <w:r>
        <w:rPr>
          <w:rFonts w:ascii="Times New Roman" w:hAnsi="Times New Roman" w:cs="Times New Roman"/>
        </w:rPr>
        <w:lastRenderedPageBreak/>
        <w:t>where “Index” refers to either a measure of free and fair elections or a measure of civil liberties, m indexes municipalities, c denotes the national mean estimate of a subnational index, t indexes years, and Range is as defined above.</w:t>
      </w:r>
      <w:r w:rsidR="006766DE">
        <w:rPr>
          <w:rFonts w:ascii="Times New Roman" w:hAnsi="Times New Roman" w:cs="Times New Roman"/>
        </w:rPr>
        <w:t xml:space="preserve"> The central 95% range of an index is the 97.5</w:t>
      </w:r>
      <w:r w:rsidR="006766DE" w:rsidRPr="006766DE">
        <w:rPr>
          <w:rFonts w:ascii="Times New Roman" w:hAnsi="Times New Roman" w:cs="Times New Roman"/>
          <w:vertAlign w:val="superscript"/>
        </w:rPr>
        <w:t>th</w:t>
      </w:r>
      <w:r w:rsidR="006766DE">
        <w:rPr>
          <w:rFonts w:ascii="Times New Roman" w:hAnsi="Times New Roman" w:cs="Times New Roman"/>
        </w:rPr>
        <w:t xml:space="preserve"> percentile of the index minus its 2.5</w:t>
      </w:r>
      <w:r w:rsidR="006766DE" w:rsidRPr="006766DE">
        <w:rPr>
          <w:rFonts w:ascii="Times New Roman" w:hAnsi="Times New Roman" w:cs="Times New Roman"/>
          <w:vertAlign w:val="superscript"/>
        </w:rPr>
        <w:t>th</w:t>
      </w:r>
      <w:r w:rsidR="006766DE">
        <w:rPr>
          <w:rFonts w:ascii="Times New Roman" w:hAnsi="Times New Roman" w:cs="Times New Roman"/>
        </w:rPr>
        <w:t xml:space="preserve"> percentile: bounds that correspond approximately to two standard deviations above and below the mean.</w:t>
      </w:r>
    </w:p>
    <w:p w14:paraId="40035F98" w14:textId="2D239465" w:rsidR="006766DE" w:rsidRDefault="006766DE" w:rsidP="006766DE">
      <w:pPr>
        <w:ind w:firstLine="720"/>
        <w:rPr>
          <w:rFonts w:ascii="Times New Roman" w:hAnsi="Times New Roman" w:cs="Times New Roman"/>
        </w:rPr>
      </w:pPr>
      <w:r w:rsidRPr="006766DE">
        <w:rPr>
          <w:rFonts w:ascii="Times New Roman" w:hAnsi="Times New Roman" w:cs="Times New Roman"/>
        </w:rPr>
        <w:t>The result of applying this transformation to the Colombian estimates for 2000-2023 is shown in Figures 4 and 5.</w:t>
      </w:r>
    </w:p>
    <w:p w14:paraId="52092763" w14:textId="77777777" w:rsidR="006766DE" w:rsidRDefault="006766DE" w:rsidP="001A688E">
      <w:pPr>
        <w:rPr>
          <w:rFonts w:ascii="Times New Roman" w:hAnsi="Times New Roman" w:cs="Times New Roman"/>
        </w:rPr>
      </w:pPr>
    </w:p>
    <w:p w14:paraId="5244AFB9" w14:textId="35928BC7" w:rsidR="00F464F1" w:rsidRDefault="00F464F1" w:rsidP="001A688E">
      <w:pPr>
        <w:rPr>
          <w:rFonts w:ascii="Times New Roman" w:hAnsi="Times New Roman" w:cs="Times New Roman"/>
        </w:rPr>
        <w:sectPr w:rsidR="00F464F1" w:rsidSect="00120920">
          <w:headerReference w:type="default" r:id="rId11"/>
          <w:pgSz w:w="12240" w:h="15840"/>
          <w:pgMar w:top="1440" w:right="1440" w:bottom="1440" w:left="1440" w:header="720" w:footer="720" w:gutter="0"/>
          <w:cols w:space="720"/>
          <w:titlePg/>
          <w:docGrid w:linePitch="360"/>
        </w:sectPr>
      </w:pPr>
      <w:r>
        <w:rPr>
          <w:rFonts w:ascii="Times New Roman" w:hAnsi="Times New Roman" w:cs="Times New Roman"/>
        </w:rPr>
        <w:t>[Don’t use the figure below in the January 2026 paper.]</w:t>
      </w:r>
    </w:p>
    <w:p w14:paraId="24D3C243" w14:textId="15607F56" w:rsidR="001A688E" w:rsidRDefault="001A688E" w:rsidP="001A688E">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2336" behindDoc="0" locked="0" layoutInCell="1" allowOverlap="1" wp14:anchorId="49BEDE5C" wp14:editId="77F0FDCC">
            <wp:simplePos x="0" y="0"/>
            <wp:positionH relativeFrom="column">
              <wp:posOffset>4076700</wp:posOffset>
            </wp:positionH>
            <wp:positionV relativeFrom="paragraph">
              <wp:posOffset>0</wp:posOffset>
            </wp:positionV>
            <wp:extent cx="3962400" cy="5943600"/>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62400" cy="5943600"/>
                    </a:xfrm>
                    <a:prstGeom prst="rect">
                      <a:avLst/>
                    </a:prstGeom>
                  </pic:spPr>
                </pic:pic>
              </a:graphicData>
            </a:graphic>
          </wp:anchor>
        </w:drawing>
      </w:r>
      <w:r>
        <w:rPr>
          <w:rFonts w:ascii="Times New Roman" w:hAnsi="Times New Roman" w:cs="Times New Roman"/>
          <w:noProof/>
        </w:rPr>
        <w:drawing>
          <wp:anchor distT="0" distB="0" distL="114300" distR="114300" simplePos="0" relativeHeight="251661312" behindDoc="0" locked="0" layoutInCell="1" allowOverlap="1" wp14:anchorId="7DEE20A6" wp14:editId="1DCD22CE">
            <wp:simplePos x="0" y="0"/>
            <wp:positionH relativeFrom="column">
              <wp:posOffset>0</wp:posOffset>
            </wp:positionH>
            <wp:positionV relativeFrom="paragraph">
              <wp:posOffset>0</wp:posOffset>
            </wp:positionV>
            <wp:extent cx="3962400" cy="594360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62400" cy="5943600"/>
                    </a:xfrm>
                    <a:prstGeom prst="rect">
                      <a:avLst/>
                    </a:prstGeom>
                  </pic:spPr>
                </pic:pic>
              </a:graphicData>
            </a:graphic>
          </wp:anchor>
        </w:drawing>
      </w:r>
    </w:p>
    <w:p w14:paraId="0736DF07" w14:textId="77777777" w:rsidR="001A688E" w:rsidRDefault="001A688E" w:rsidP="001A688E">
      <w:pPr>
        <w:pStyle w:val="NoSpacing"/>
        <w:rPr>
          <w:rFonts w:ascii="Times New Roman" w:hAnsi="Times New Roman" w:cs="Times New Roman"/>
        </w:rPr>
        <w:sectPr w:rsidR="001A688E" w:rsidSect="001A688E">
          <w:pgSz w:w="15840" w:h="12240" w:orient="landscape"/>
          <w:pgMar w:top="1440" w:right="1440" w:bottom="1440" w:left="1440" w:header="720" w:footer="720" w:gutter="0"/>
          <w:cols w:space="720"/>
          <w:docGrid w:linePitch="360"/>
        </w:sectPr>
      </w:pPr>
    </w:p>
    <w:p w14:paraId="6BBB53FB" w14:textId="096F204D" w:rsidR="00D74AF6" w:rsidRDefault="00D74AF6" w:rsidP="001A688E">
      <w:pPr>
        <w:pStyle w:val="NoSpacing"/>
        <w:rPr>
          <w:rFonts w:ascii="Times New Roman" w:hAnsi="Times New Roman" w:cs="Times New Roman"/>
        </w:rPr>
      </w:pPr>
    </w:p>
    <w:p w14:paraId="7819F57C" w14:textId="217A76A3" w:rsidR="00750C3F" w:rsidRDefault="00120920" w:rsidP="0000218C">
      <w:pPr>
        <w:pStyle w:val="NoSpacing"/>
        <w:rPr>
          <w:rFonts w:ascii="Times New Roman" w:hAnsi="Times New Roman" w:cs="Times New Roman"/>
        </w:rPr>
      </w:pPr>
      <w:r>
        <w:rPr>
          <w:rFonts w:ascii="Times New Roman" w:hAnsi="Times New Roman" w:cs="Times New Roman"/>
        </w:rPr>
        <w:t>[Rough notes for later sections]</w:t>
      </w:r>
    </w:p>
    <w:p w14:paraId="7226152B" w14:textId="77777777" w:rsidR="00120920" w:rsidRDefault="00120920" w:rsidP="0000218C">
      <w:pPr>
        <w:pStyle w:val="NoSpacing"/>
        <w:rPr>
          <w:rFonts w:ascii="Times New Roman" w:hAnsi="Times New Roman" w:cs="Times New Roman"/>
        </w:rPr>
      </w:pPr>
    </w:p>
    <w:p w14:paraId="0CAE4888" w14:textId="45820635" w:rsidR="00750C3F" w:rsidRDefault="00750C3F" w:rsidP="0000218C">
      <w:pPr>
        <w:pStyle w:val="NoSpacing"/>
        <w:rPr>
          <w:rFonts w:ascii="Times New Roman" w:hAnsi="Times New Roman" w:cs="Times New Roman"/>
        </w:rPr>
      </w:pPr>
      <w:r>
        <w:rPr>
          <w:rFonts w:ascii="Times New Roman" w:hAnsi="Times New Roman" w:cs="Times New Roman"/>
        </w:rPr>
        <w:t>Index definitions</w:t>
      </w:r>
    </w:p>
    <w:p w14:paraId="66D6083C" w14:textId="29364D2C" w:rsidR="00750C3F" w:rsidRDefault="00750C3F" w:rsidP="0000218C">
      <w:pPr>
        <w:pStyle w:val="NoSpacing"/>
        <w:rPr>
          <w:rFonts w:ascii="Times New Roman" w:hAnsi="Times New Roman" w:cs="Times New Roman"/>
        </w:rPr>
      </w:pPr>
      <w:r>
        <w:rPr>
          <w:rFonts w:ascii="Times New Roman" w:hAnsi="Times New Roman" w:cs="Times New Roman"/>
        </w:rPr>
        <w:t>i = country</w:t>
      </w:r>
    </w:p>
    <w:p w14:paraId="33202F8B" w14:textId="38757E39" w:rsidR="00750C3F" w:rsidRDefault="00750C3F" w:rsidP="0000218C">
      <w:pPr>
        <w:pStyle w:val="NoSpacing"/>
        <w:rPr>
          <w:rFonts w:ascii="Times New Roman" w:hAnsi="Times New Roman" w:cs="Times New Roman"/>
        </w:rPr>
      </w:pPr>
      <w:r>
        <w:rPr>
          <w:rFonts w:ascii="Times New Roman" w:hAnsi="Times New Roman" w:cs="Times New Roman"/>
        </w:rPr>
        <w:t>j = subnational unit</w:t>
      </w:r>
    </w:p>
    <w:p w14:paraId="72BA5AEF" w14:textId="42DE2579" w:rsidR="00750C3F" w:rsidRDefault="00750C3F" w:rsidP="0000218C">
      <w:pPr>
        <w:pStyle w:val="NoSpacing"/>
        <w:rPr>
          <w:rFonts w:ascii="Times New Roman" w:hAnsi="Times New Roman" w:cs="Times New Roman"/>
        </w:rPr>
      </w:pPr>
      <w:r>
        <w:rPr>
          <w:rFonts w:ascii="Times New Roman" w:hAnsi="Times New Roman" w:cs="Times New Roman"/>
        </w:rPr>
        <w:t>t = time (year)</w:t>
      </w:r>
    </w:p>
    <w:p w14:paraId="094DDA9D" w14:textId="5549CEA0" w:rsidR="00750C3F" w:rsidRDefault="00750C3F" w:rsidP="0000218C">
      <w:pPr>
        <w:pStyle w:val="NoSpacing"/>
        <w:rPr>
          <w:rFonts w:ascii="Times New Roman" w:hAnsi="Times New Roman" w:cs="Times New Roman"/>
        </w:rPr>
      </w:pPr>
      <w:r>
        <w:rPr>
          <w:rFonts w:ascii="Times New Roman" w:hAnsi="Times New Roman" w:cs="Times New Roman"/>
        </w:rPr>
        <w:t>w = which variable (elections or civil liberties)</w:t>
      </w:r>
    </w:p>
    <w:p w14:paraId="61FF47AE" w14:textId="5A117444" w:rsidR="00750C3F" w:rsidRDefault="00750C3F" w:rsidP="0000218C">
      <w:pPr>
        <w:pStyle w:val="NoSpacing"/>
        <w:rPr>
          <w:rFonts w:ascii="Times New Roman" w:hAnsi="Times New Roman" w:cs="Times New Roman"/>
        </w:rPr>
      </w:pPr>
      <w:r>
        <w:rPr>
          <w:rFonts w:ascii="Times New Roman" w:hAnsi="Times New Roman" w:cs="Times New Roman"/>
        </w:rPr>
        <w:t>k = criterion for relevance</w:t>
      </w:r>
    </w:p>
    <w:p w14:paraId="4945CF93" w14:textId="1814F611" w:rsidR="00750C3F" w:rsidRDefault="00750C3F" w:rsidP="0000218C">
      <w:pPr>
        <w:pStyle w:val="NoSpacing"/>
        <w:rPr>
          <w:rFonts w:ascii="Times New Roman" w:hAnsi="Times New Roman" w:cs="Times New Roman"/>
        </w:rPr>
      </w:pPr>
      <w:r>
        <w:rPr>
          <w:rFonts w:ascii="Times New Roman" w:hAnsi="Times New Roman" w:cs="Times New Roman"/>
        </w:rPr>
        <w:t>R = summary degree of relevance</w:t>
      </w:r>
    </w:p>
    <w:p w14:paraId="6BD207B5" w14:textId="330F5734" w:rsidR="00750C3F" w:rsidRDefault="00750C3F" w:rsidP="0000218C">
      <w:pPr>
        <w:pStyle w:val="NoSpacing"/>
        <w:rPr>
          <w:rFonts w:ascii="Times New Roman" w:hAnsi="Times New Roman" w:cs="Times New Roman"/>
        </w:rPr>
      </w:pPr>
      <w:r>
        <w:rPr>
          <w:rFonts w:ascii="Times New Roman" w:hAnsi="Times New Roman" w:cs="Times New Roman"/>
        </w:rPr>
        <w:t>r = binary relevance score from each coder</w:t>
      </w:r>
    </w:p>
    <w:p w14:paraId="3363E5A5" w14:textId="3F077356" w:rsidR="00750C3F" w:rsidRDefault="00750C3F" w:rsidP="0000218C">
      <w:pPr>
        <w:pStyle w:val="NoSpacing"/>
        <w:rPr>
          <w:rFonts w:ascii="Times New Roman" w:hAnsi="Times New Roman" w:cs="Times New Roman"/>
        </w:rPr>
      </w:pPr>
      <w:r>
        <w:rPr>
          <w:rFonts w:ascii="Times New Roman" w:hAnsi="Times New Roman" w:cs="Times New Roman"/>
        </w:rPr>
        <w:t>c = coder</w:t>
      </w:r>
    </w:p>
    <w:p w14:paraId="0C53FEF8" w14:textId="70440D47" w:rsidR="00750C3F" w:rsidRPr="0000218C" w:rsidRDefault="00750C3F" w:rsidP="0000218C">
      <w:pPr>
        <w:pStyle w:val="NoSpacing"/>
        <w:rPr>
          <w:rFonts w:ascii="Times New Roman" w:hAnsi="Times New Roman" w:cs="Times New Roman"/>
        </w:rPr>
      </w:pPr>
    </w:p>
    <w:p w14:paraId="17A4C3BB" w14:textId="39DD16C2" w:rsidR="0000218C" w:rsidRDefault="0000218C" w:rsidP="0000218C">
      <w:pPr>
        <w:pStyle w:val="NoSpacing"/>
        <w:rPr>
          <w:rFonts w:ascii="Times New Roman" w:hAnsi="Times New Roman" w:cs="Times New Roman"/>
        </w:rPr>
      </w:pPr>
      <w:r w:rsidRPr="0000218C">
        <w:rPr>
          <w:rFonts w:ascii="Times New Roman" w:hAnsi="Times New Roman" w:cs="Times New Roman"/>
        </w:rPr>
        <w:t xml:space="preserve">  </w:t>
      </w:r>
    </w:p>
    <w:p w14:paraId="72AFF625" w14:textId="51C20FA0" w:rsidR="00D30FBD" w:rsidRDefault="004928BA" w:rsidP="0000218C">
      <w:pPr>
        <w:pStyle w:val="NoSpacing"/>
        <w:rPr>
          <w:rFonts w:ascii="Times New Roman" w:hAnsi="Times New Roman" w:cs="Times New Roman"/>
        </w:rPr>
      </w:pPr>
      <w:r>
        <w:rPr>
          <w:rFonts w:ascii="Times New Roman" w:hAnsi="Times New Roman" w:cs="Times New Roman"/>
        </w:rPr>
        <w:tab/>
      </w:r>
      <w:r w:rsidR="00000DA4">
        <w:rPr>
          <w:rFonts w:ascii="Times New Roman" w:hAnsi="Times New Roman" w:cs="Times New Roman"/>
        </w:rPr>
        <w:t xml:space="preserve"> </w:t>
      </w:r>
    </w:p>
    <w:p w14:paraId="1BAEDFFA" w14:textId="416615D8" w:rsidR="004928BA" w:rsidRDefault="004928BA" w:rsidP="0000218C">
      <w:pPr>
        <w:pStyle w:val="NoSpacing"/>
        <w:rPr>
          <w:rFonts w:ascii="Times New Roman" w:hAnsi="Times New Roman" w:cs="Times New Roman"/>
        </w:rPr>
      </w:pPr>
    </w:p>
    <w:p w14:paraId="2CE8F7B1" w14:textId="3DE4F568" w:rsidR="00762202" w:rsidRDefault="00D30FBD" w:rsidP="0000218C">
      <w:pPr>
        <w:pStyle w:val="NoSpacing"/>
        <w:rPr>
          <w:rFonts w:ascii="Times New Roman" w:hAnsi="Times New Roman" w:cs="Times New Roman"/>
        </w:rPr>
      </w:pPr>
      <w:r>
        <w:rPr>
          <w:rFonts w:ascii="Times New Roman" w:hAnsi="Times New Roman" w:cs="Times New Roman"/>
        </w:rPr>
        <w:t xml:space="preserve">Relevance = </w:t>
      </w:r>
      <w:r w:rsidR="0010311A">
        <w:rPr>
          <w:rFonts w:ascii="Times New Roman" w:hAnsi="Times New Roman" w:cs="Times New Roman"/>
        </w:rPr>
        <w:t>sum(Range</w:t>
      </w:r>
      <w:r w:rsidR="0010311A" w:rsidRPr="00D30FBD">
        <w:rPr>
          <w:rFonts w:ascii="Times New Roman" w:hAnsi="Times New Roman" w:cs="Times New Roman"/>
          <w:vertAlign w:val="subscript"/>
        </w:rPr>
        <w:t>itw</w:t>
      </w:r>
      <w:r w:rsidR="0010311A">
        <w:rPr>
          <w:rFonts w:ascii="Times New Roman" w:hAnsi="Times New Roman" w:cs="Times New Roman"/>
          <w:vertAlign w:val="subscript"/>
        </w:rPr>
        <w:t>c</w:t>
      </w:r>
      <w:r w:rsidR="0010311A">
        <w:rPr>
          <w:rFonts w:ascii="Times New Roman" w:hAnsi="Times New Roman" w:cs="Times New Roman"/>
        </w:rPr>
        <w:t xml:space="preserve"> * </w:t>
      </w:r>
      <w:r>
        <w:rPr>
          <w:rFonts w:ascii="Times New Roman" w:hAnsi="Times New Roman" w:cs="Times New Roman"/>
        </w:rPr>
        <w:t>r</w:t>
      </w:r>
      <w:r w:rsidRPr="00D30FBD">
        <w:rPr>
          <w:rFonts w:ascii="Times New Roman" w:hAnsi="Times New Roman" w:cs="Times New Roman"/>
          <w:vertAlign w:val="subscript"/>
        </w:rPr>
        <w:t>itwc</w:t>
      </w:r>
      <w:r>
        <w:rPr>
          <w:rFonts w:ascii="Times New Roman" w:hAnsi="Times New Roman" w:cs="Times New Roman"/>
        </w:rPr>
        <w:t xml:space="preserve"> </w:t>
      </w:r>
      <w:r w:rsidR="0010311A">
        <w:rPr>
          <w:rFonts w:ascii="Times New Roman" w:hAnsi="Times New Roman" w:cs="Times New Roman"/>
        </w:rPr>
        <w:t>)</w:t>
      </w:r>
    </w:p>
    <w:p w14:paraId="13A76490" w14:textId="17C995B9" w:rsidR="006E018A" w:rsidRDefault="006E018A" w:rsidP="0000218C">
      <w:pPr>
        <w:pStyle w:val="NoSpacing"/>
        <w:rPr>
          <w:rFonts w:ascii="Times New Roman" w:hAnsi="Times New Roman" w:cs="Times New Roman"/>
        </w:rPr>
      </w:pPr>
    </w:p>
    <w:p w14:paraId="2B819088" w14:textId="5C4C89FC" w:rsidR="006E018A" w:rsidRDefault="006E018A" w:rsidP="0000218C">
      <w:pPr>
        <w:pStyle w:val="NoSpacing"/>
        <w:rPr>
          <w:rFonts w:ascii="Times New Roman" w:hAnsi="Times New Roman" w:cs="Times New Roman"/>
        </w:rPr>
      </w:pPr>
      <w:r>
        <w:rPr>
          <w:rFonts w:ascii="Times New Roman" w:hAnsi="Times New Roman" w:cs="Times New Roman"/>
        </w:rPr>
        <w:t>Consider incorporating into the overall subnational democracy measure:</w:t>
      </w:r>
    </w:p>
    <w:p w14:paraId="7F566A8D" w14:textId="20A51B0D" w:rsidR="006E018A" w:rsidRDefault="006E018A" w:rsidP="006E018A">
      <w:pPr>
        <w:pStyle w:val="NoSpacing"/>
        <w:numPr>
          <w:ilvl w:val="0"/>
          <w:numId w:val="1"/>
        </w:numPr>
        <w:rPr>
          <w:rFonts w:ascii="Times New Roman" w:hAnsi="Times New Roman" w:cs="Times New Roman"/>
        </w:rPr>
      </w:pPr>
      <w:r>
        <w:rPr>
          <w:rFonts w:ascii="Times New Roman" w:hAnsi="Times New Roman" w:cs="Times New Roman"/>
        </w:rPr>
        <w:t xml:space="preserve">Regional government index, local government index, or Division of powers index, all of which measure the degree to which subnational officials are elected and able to govern without interference from unelected authorities. This could be a proxy for the Elected officials index. </w:t>
      </w:r>
    </w:p>
    <w:p w14:paraId="790B9604" w14:textId="77777777" w:rsidR="006E018A" w:rsidRDefault="006E018A" w:rsidP="006E018A">
      <w:pPr>
        <w:pStyle w:val="NoSpacing"/>
        <w:numPr>
          <w:ilvl w:val="0"/>
          <w:numId w:val="1"/>
        </w:numPr>
        <w:rPr>
          <w:rFonts w:ascii="Times New Roman" w:hAnsi="Times New Roman" w:cs="Times New Roman"/>
        </w:rPr>
      </w:pPr>
    </w:p>
    <w:p w14:paraId="5539ED38" w14:textId="2E5755E5" w:rsidR="00762202" w:rsidRDefault="00762202">
      <w:pPr>
        <w:rPr>
          <w:rFonts w:ascii="Times New Roman" w:hAnsi="Times New Roman" w:cs="Times New Roman"/>
        </w:rPr>
      </w:pPr>
      <w:r>
        <w:rPr>
          <w:rFonts w:ascii="Times New Roman" w:hAnsi="Times New Roman" w:cs="Times New Roman"/>
        </w:rPr>
        <w:br w:type="page"/>
      </w:r>
    </w:p>
    <w:p w14:paraId="2F0E09F4" w14:textId="77777777" w:rsidR="00D30FBD" w:rsidRPr="00D30FBD" w:rsidRDefault="00D30FBD" w:rsidP="0000218C">
      <w:pPr>
        <w:pStyle w:val="NoSpacing"/>
        <w:rPr>
          <w:rFonts w:ascii="Times New Roman" w:hAnsi="Times New Roman" w:cs="Times New Roman"/>
        </w:rPr>
      </w:pPr>
    </w:p>
    <w:p w14:paraId="382A415E" w14:textId="481A7443" w:rsidR="0000218C" w:rsidRDefault="0000218C" w:rsidP="0000218C">
      <w:pPr>
        <w:pStyle w:val="NoSpacing"/>
        <w:rPr>
          <w:rFonts w:ascii="Times New Roman" w:hAnsi="Times New Roman" w:cs="Times New Roman"/>
        </w:rPr>
      </w:pPr>
    </w:p>
    <w:p w14:paraId="39EB0243" w14:textId="07C2889A" w:rsidR="0000218C" w:rsidRDefault="0000218C" w:rsidP="0000218C">
      <w:pPr>
        <w:pStyle w:val="NoSpacing"/>
        <w:rPr>
          <w:rFonts w:ascii="Times New Roman" w:hAnsi="Times New Roman" w:cs="Times New Roman"/>
        </w:rPr>
      </w:pPr>
    </w:p>
    <w:p w14:paraId="4CFF41A1" w14:textId="7785947A" w:rsidR="0000218C" w:rsidRDefault="0000218C" w:rsidP="0000218C">
      <w:pPr>
        <w:pStyle w:val="NoSpacing"/>
        <w:rPr>
          <w:rFonts w:ascii="Times New Roman" w:hAnsi="Times New Roman" w:cs="Times New Roman"/>
        </w:rPr>
      </w:pPr>
    </w:p>
    <w:p w14:paraId="5A9E081A" w14:textId="77777777" w:rsidR="0000218C" w:rsidRPr="0000218C" w:rsidRDefault="0000218C" w:rsidP="0000218C">
      <w:pPr>
        <w:pStyle w:val="NoSpacing"/>
        <w:rPr>
          <w:rFonts w:ascii="Times New Roman" w:hAnsi="Times New Roman" w:cs="Times New Roman"/>
        </w:rPr>
      </w:pPr>
    </w:p>
    <w:sectPr w:rsidR="0000218C" w:rsidRPr="0000218C" w:rsidSect="001A688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4F68E" w14:textId="77777777" w:rsidR="008A1C83" w:rsidRDefault="008A1C83" w:rsidP="00120920">
      <w:pPr>
        <w:spacing w:after="0" w:line="240" w:lineRule="auto"/>
      </w:pPr>
      <w:r>
        <w:separator/>
      </w:r>
    </w:p>
  </w:endnote>
  <w:endnote w:type="continuationSeparator" w:id="0">
    <w:p w14:paraId="22E9494B" w14:textId="77777777" w:rsidR="008A1C83" w:rsidRDefault="008A1C83" w:rsidP="001209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C45B2" w14:textId="77777777" w:rsidR="008A1C83" w:rsidRDefault="008A1C83" w:rsidP="00120920">
      <w:pPr>
        <w:spacing w:after="0" w:line="240" w:lineRule="auto"/>
      </w:pPr>
      <w:r>
        <w:separator/>
      </w:r>
    </w:p>
  </w:footnote>
  <w:footnote w:type="continuationSeparator" w:id="0">
    <w:p w14:paraId="568AEA9A" w14:textId="77777777" w:rsidR="008A1C83" w:rsidRDefault="008A1C83" w:rsidP="00120920">
      <w:pPr>
        <w:spacing w:after="0" w:line="240" w:lineRule="auto"/>
      </w:pPr>
      <w:r>
        <w:continuationSeparator/>
      </w:r>
    </w:p>
  </w:footnote>
  <w:footnote w:id="1">
    <w:p w14:paraId="2DCD720D" w14:textId="5BA18B18" w:rsidR="006740C2" w:rsidRPr="006740C2" w:rsidRDefault="006740C2">
      <w:pPr>
        <w:pStyle w:val="FootnoteText"/>
        <w:rPr>
          <w:rFonts w:ascii="Times New Roman" w:hAnsi="Times New Roman" w:cs="Times New Roman"/>
        </w:rPr>
      </w:pPr>
      <w:r w:rsidRPr="006740C2">
        <w:rPr>
          <w:rStyle w:val="FootnoteReference"/>
          <w:rFonts w:ascii="Times New Roman" w:hAnsi="Times New Roman" w:cs="Times New Roman"/>
        </w:rPr>
        <w:footnoteRef/>
      </w:r>
      <w:r w:rsidRPr="006740C2">
        <w:rPr>
          <w:rFonts w:ascii="Times New Roman" w:hAnsi="Times New Roman" w:cs="Times New Roman"/>
        </w:rPr>
        <w:t xml:space="preserve"> Experts who chose 2 on this question were not asked the follow-up questions about the characteristics of regions where elections were more or less free and fair, which we use to weight the predictors of subnational elections. However, we included the number of experts who were filtered out in this way in the denominator when calculating the proportion of experts who chose each weighting criterion.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437263"/>
      <w:docPartObj>
        <w:docPartGallery w:val="Page Numbers (Top of Page)"/>
        <w:docPartUnique/>
      </w:docPartObj>
    </w:sdtPr>
    <w:sdtEndPr>
      <w:rPr>
        <w:noProof/>
      </w:rPr>
    </w:sdtEndPr>
    <w:sdtContent>
      <w:p w14:paraId="22360BBB" w14:textId="7C69E01F" w:rsidR="00120920" w:rsidRDefault="0012092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ECB4621" w14:textId="77777777" w:rsidR="00120920" w:rsidRDefault="001209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26222"/>
    <w:multiLevelType w:val="hybridMultilevel"/>
    <w:tmpl w:val="E5A6B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564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18C"/>
    <w:rsid w:val="00000DA4"/>
    <w:rsid w:val="0000218C"/>
    <w:rsid w:val="00047463"/>
    <w:rsid w:val="0010311A"/>
    <w:rsid w:val="00120920"/>
    <w:rsid w:val="00134A5B"/>
    <w:rsid w:val="001A688E"/>
    <w:rsid w:val="001B50FE"/>
    <w:rsid w:val="00221C6C"/>
    <w:rsid w:val="0024635D"/>
    <w:rsid w:val="003C196E"/>
    <w:rsid w:val="00445784"/>
    <w:rsid w:val="004928BA"/>
    <w:rsid w:val="004C64CA"/>
    <w:rsid w:val="004D73BB"/>
    <w:rsid w:val="005259B3"/>
    <w:rsid w:val="006740C2"/>
    <w:rsid w:val="006766DE"/>
    <w:rsid w:val="006D113D"/>
    <w:rsid w:val="006E018A"/>
    <w:rsid w:val="00704732"/>
    <w:rsid w:val="00750C3F"/>
    <w:rsid w:val="007547EB"/>
    <w:rsid w:val="00762202"/>
    <w:rsid w:val="00797794"/>
    <w:rsid w:val="007F57E4"/>
    <w:rsid w:val="00823FD3"/>
    <w:rsid w:val="00836768"/>
    <w:rsid w:val="00872E46"/>
    <w:rsid w:val="008A1C83"/>
    <w:rsid w:val="009B7A0E"/>
    <w:rsid w:val="00AE1F9C"/>
    <w:rsid w:val="00AE26D6"/>
    <w:rsid w:val="00B2197D"/>
    <w:rsid w:val="00B7776B"/>
    <w:rsid w:val="00C1723C"/>
    <w:rsid w:val="00C317F4"/>
    <w:rsid w:val="00D05081"/>
    <w:rsid w:val="00D30FBD"/>
    <w:rsid w:val="00D413CD"/>
    <w:rsid w:val="00D74AF6"/>
    <w:rsid w:val="00DC3428"/>
    <w:rsid w:val="00DF2106"/>
    <w:rsid w:val="00E06ABD"/>
    <w:rsid w:val="00EA5386"/>
    <w:rsid w:val="00EC7E83"/>
    <w:rsid w:val="00ED6195"/>
    <w:rsid w:val="00F464F1"/>
    <w:rsid w:val="00FD32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BA599"/>
  <w15:chartTrackingRefBased/>
  <w15:docId w15:val="{C9734973-B533-4F10-9EA0-F2AB52322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3428"/>
  </w:style>
  <w:style w:type="paragraph" w:styleId="Heading1">
    <w:name w:val="heading 1"/>
    <w:basedOn w:val="Normal"/>
    <w:next w:val="Normal"/>
    <w:link w:val="Heading1Char"/>
    <w:uiPriority w:val="9"/>
    <w:qFormat/>
    <w:rsid w:val="00DC342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C342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DC342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5">
    <w:name w:val="font5"/>
    <w:basedOn w:val="Normal"/>
    <w:rsid w:val="00DC3428"/>
    <w:pPr>
      <w:spacing w:before="100" w:beforeAutospacing="1" w:after="100" w:afterAutospacing="1" w:line="240" w:lineRule="auto"/>
    </w:pPr>
    <w:rPr>
      <w:rFonts w:ascii="Garamond" w:eastAsia="Times New Roman" w:hAnsi="Garamond" w:cs="Times New Roman"/>
      <w:color w:val="000000"/>
      <w:sz w:val="20"/>
      <w:szCs w:val="20"/>
    </w:rPr>
  </w:style>
  <w:style w:type="paragraph" w:customStyle="1" w:styleId="font6">
    <w:name w:val="font6"/>
    <w:basedOn w:val="Normal"/>
    <w:rsid w:val="00DC3428"/>
    <w:pPr>
      <w:spacing w:before="100" w:beforeAutospacing="1" w:after="100" w:afterAutospacing="1" w:line="240" w:lineRule="auto"/>
    </w:pPr>
    <w:rPr>
      <w:rFonts w:ascii="Garamond" w:eastAsia="Times New Roman" w:hAnsi="Garamond" w:cs="Times New Roman"/>
      <w:color w:val="000000"/>
      <w:sz w:val="20"/>
      <w:szCs w:val="20"/>
    </w:rPr>
  </w:style>
  <w:style w:type="paragraph" w:customStyle="1" w:styleId="xl65">
    <w:name w:val="xl65"/>
    <w:basedOn w:val="Normal"/>
    <w:rsid w:val="00DC3428"/>
    <w:pPr>
      <w:spacing w:before="100" w:beforeAutospacing="1" w:after="100" w:afterAutospacing="1" w:line="240" w:lineRule="auto"/>
    </w:pPr>
    <w:rPr>
      <w:rFonts w:ascii="Garamond" w:eastAsia="Times New Roman" w:hAnsi="Garamond" w:cs="Times New Roman"/>
      <w:sz w:val="20"/>
      <w:szCs w:val="20"/>
    </w:rPr>
  </w:style>
  <w:style w:type="paragraph" w:customStyle="1" w:styleId="xl66">
    <w:name w:val="xl66"/>
    <w:basedOn w:val="Normal"/>
    <w:rsid w:val="00DC3428"/>
    <w:pPr>
      <w:spacing w:before="100" w:beforeAutospacing="1" w:after="100" w:afterAutospacing="1" w:line="240" w:lineRule="auto"/>
      <w:jc w:val="right"/>
    </w:pPr>
    <w:rPr>
      <w:rFonts w:ascii="Garamond" w:eastAsia="Times New Roman" w:hAnsi="Garamond" w:cs="Times New Roman"/>
      <w:sz w:val="20"/>
      <w:szCs w:val="20"/>
    </w:rPr>
  </w:style>
  <w:style w:type="paragraph" w:customStyle="1" w:styleId="xl67">
    <w:name w:val="xl67"/>
    <w:basedOn w:val="Normal"/>
    <w:rsid w:val="00DC3428"/>
    <w:pPr>
      <w:pBdr>
        <w:top w:val="single" w:sz="4" w:space="0" w:color="auto"/>
        <w:left w:val="single" w:sz="4" w:space="0" w:color="auto"/>
      </w:pBdr>
      <w:spacing w:before="100" w:beforeAutospacing="1" w:after="100" w:afterAutospacing="1" w:line="240" w:lineRule="auto"/>
    </w:pPr>
    <w:rPr>
      <w:rFonts w:ascii="Garamond" w:eastAsia="Times New Roman" w:hAnsi="Garamond" w:cs="Times New Roman"/>
      <w:sz w:val="20"/>
      <w:szCs w:val="20"/>
    </w:rPr>
  </w:style>
  <w:style w:type="paragraph" w:customStyle="1" w:styleId="xl68">
    <w:name w:val="xl68"/>
    <w:basedOn w:val="Normal"/>
    <w:rsid w:val="00DC3428"/>
    <w:pPr>
      <w:pBdr>
        <w:top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9">
    <w:name w:val="xl69"/>
    <w:basedOn w:val="Normal"/>
    <w:rsid w:val="00DC3428"/>
    <w:pPr>
      <w:pBdr>
        <w:top w:val="single" w:sz="4" w:space="0" w:color="auto"/>
      </w:pBdr>
      <w:spacing w:before="100" w:beforeAutospacing="1" w:after="100" w:afterAutospacing="1" w:line="240" w:lineRule="auto"/>
    </w:pPr>
    <w:rPr>
      <w:rFonts w:ascii="Garamond" w:eastAsia="Times New Roman" w:hAnsi="Garamond" w:cs="Times New Roman"/>
      <w:sz w:val="20"/>
      <w:szCs w:val="20"/>
    </w:rPr>
  </w:style>
  <w:style w:type="paragraph" w:customStyle="1" w:styleId="xl70">
    <w:name w:val="xl70"/>
    <w:basedOn w:val="Normal"/>
    <w:rsid w:val="00DC3428"/>
    <w:pPr>
      <w:pBdr>
        <w:lef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1">
    <w:name w:val="xl71"/>
    <w:basedOn w:val="Normal"/>
    <w:rsid w:val="00DC3428"/>
    <w:pPr>
      <w:pBdr>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2">
    <w:name w:val="xl72"/>
    <w:basedOn w:val="Normal"/>
    <w:rsid w:val="00DC3428"/>
    <w:pPr>
      <w:pBdr>
        <w:bottom w:val="single" w:sz="4" w:space="0" w:color="auto"/>
      </w:pBdr>
      <w:spacing w:before="100" w:beforeAutospacing="1" w:after="100" w:afterAutospacing="1" w:line="240" w:lineRule="auto"/>
    </w:pPr>
    <w:rPr>
      <w:rFonts w:ascii="Garamond" w:eastAsia="Times New Roman" w:hAnsi="Garamond" w:cs="Times New Roman"/>
      <w:sz w:val="20"/>
      <w:szCs w:val="20"/>
    </w:rPr>
  </w:style>
  <w:style w:type="paragraph" w:customStyle="1" w:styleId="xl75">
    <w:name w:val="xl75"/>
    <w:basedOn w:val="Normal"/>
    <w:rsid w:val="00DC3428"/>
    <w:pPr>
      <w:pBdr>
        <w:top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7">
    <w:name w:val="xl77"/>
    <w:basedOn w:val="Normal"/>
    <w:rsid w:val="00DC3428"/>
    <w:pPr>
      <w:pBdr>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8">
    <w:name w:val="xl78"/>
    <w:basedOn w:val="Normal"/>
    <w:rsid w:val="00DC3428"/>
    <w:pPr>
      <w:pBdr>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9">
    <w:name w:val="xl79"/>
    <w:basedOn w:val="Normal"/>
    <w:rsid w:val="00DC3428"/>
    <w:pPr>
      <w:pBdr>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0">
    <w:name w:val="xl80"/>
    <w:basedOn w:val="Normal"/>
    <w:rsid w:val="00DC3428"/>
    <w:pPr>
      <w:pBdr>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1">
    <w:name w:val="xl81"/>
    <w:basedOn w:val="Normal"/>
    <w:rsid w:val="00DC3428"/>
    <w:pPr>
      <w:pBdr>
        <w:top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2">
    <w:name w:val="xl82"/>
    <w:basedOn w:val="Normal"/>
    <w:rsid w:val="00DC3428"/>
    <w:pPr>
      <w:pBdr>
        <w:top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3">
    <w:name w:val="xl83"/>
    <w:basedOn w:val="Normal"/>
    <w:rsid w:val="00DC3428"/>
    <w:pPr>
      <w:pBdr>
        <w:top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4">
    <w:name w:val="xl84"/>
    <w:basedOn w:val="Normal"/>
    <w:rsid w:val="00DC3428"/>
    <w:pPr>
      <w:pBdr>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qFormat/>
    <w:rsid w:val="00DC3428"/>
    <w:pPr>
      <w:spacing w:after="0" w:line="480" w:lineRule="auto"/>
    </w:pPr>
    <w:rPr>
      <w:rFonts w:ascii="Times New Roman" w:hAnsi="Times New Roman" w:cs="Times New Roman"/>
    </w:rPr>
  </w:style>
  <w:style w:type="character" w:customStyle="1" w:styleId="Heading1Char">
    <w:name w:val="Heading 1 Char"/>
    <w:basedOn w:val="DefaultParagraphFont"/>
    <w:link w:val="Heading1"/>
    <w:uiPriority w:val="9"/>
    <w:rsid w:val="00DC342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C3428"/>
    <w:rPr>
      <w:rFonts w:asciiTheme="majorHAnsi" w:eastAsiaTheme="majorEastAsia" w:hAnsiTheme="majorHAnsi" w:cstheme="majorBidi"/>
      <w:color w:val="2F5496" w:themeColor="accent1" w:themeShade="BF"/>
      <w:sz w:val="26"/>
      <w:szCs w:val="26"/>
    </w:rPr>
  </w:style>
  <w:style w:type="paragraph" w:styleId="FootnoteText">
    <w:name w:val="footnote text"/>
    <w:basedOn w:val="Normal"/>
    <w:link w:val="FootnoteTextChar"/>
    <w:uiPriority w:val="99"/>
    <w:semiHidden/>
    <w:unhideWhenUsed/>
    <w:rsid w:val="00DC342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C3428"/>
    <w:rPr>
      <w:sz w:val="20"/>
      <w:szCs w:val="20"/>
    </w:rPr>
  </w:style>
  <w:style w:type="paragraph" w:styleId="CommentText">
    <w:name w:val="annotation text"/>
    <w:basedOn w:val="Normal"/>
    <w:link w:val="CommentTextChar"/>
    <w:uiPriority w:val="99"/>
    <w:unhideWhenUsed/>
    <w:rsid w:val="00DC3428"/>
    <w:pPr>
      <w:spacing w:line="240" w:lineRule="auto"/>
    </w:pPr>
    <w:rPr>
      <w:sz w:val="20"/>
      <w:szCs w:val="20"/>
    </w:rPr>
  </w:style>
  <w:style w:type="character" w:customStyle="1" w:styleId="CommentTextChar">
    <w:name w:val="Comment Text Char"/>
    <w:basedOn w:val="DefaultParagraphFont"/>
    <w:link w:val="CommentText"/>
    <w:uiPriority w:val="99"/>
    <w:rsid w:val="00DC3428"/>
    <w:rPr>
      <w:sz w:val="20"/>
      <w:szCs w:val="20"/>
    </w:rPr>
  </w:style>
  <w:style w:type="paragraph" w:styleId="Header">
    <w:name w:val="header"/>
    <w:basedOn w:val="Normal"/>
    <w:link w:val="HeaderChar"/>
    <w:uiPriority w:val="99"/>
    <w:unhideWhenUsed/>
    <w:rsid w:val="00DC34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3428"/>
  </w:style>
  <w:style w:type="paragraph" w:styleId="Footer">
    <w:name w:val="footer"/>
    <w:basedOn w:val="Normal"/>
    <w:link w:val="FooterChar"/>
    <w:uiPriority w:val="99"/>
    <w:unhideWhenUsed/>
    <w:rsid w:val="00DC34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3428"/>
  </w:style>
  <w:style w:type="character" w:styleId="FootnoteReference">
    <w:name w:val="footnote reference"/>
    <w:basedOn w:val="DefaultParagraphFont"/>
    <w:uiPriority w:val="99"/>
    <w:semiHidden/>
    <w:unhideWhenUsed/>
    <w:rsid w:val="00DC3428"/>
    <w:rPr>
      <w:vertAlign w:val="superscript"/>
    </w:rPr>
  </w:style>
  <w:style w:type="character" w:styleId="CommentReference">
    <w:name w:val="annotation reference"/>
    <w:basedOn w:val="DefaultParagraphFont"/>
    <w:uiPriority w:val="99"/>
    <w:semiHidden/>
    <w:unhideWhenUsed/>
    <w:rsid w:val="00DC3428"/>
    <w:rPr>
      <w:sz w:val="16"/>
      <w:szCs w:val="16"/>
    </w:rPr>
  </w:style>
  <w:style w:type="character" w:styleId="Hyperlink">
    <w:name w:val="Hyperlink"/>
    <w:basedOn w:val="DefaultParagraphFont"/>
    <w:uiPriority w:val="99"/>
    <w:unhideWhenUsed/>
    <w:rsid w:val="00DC3428"/>
    <w:rPr>
      <w:color w:val="0563C1"/>
      <w:u w:val="single"/>
    </w:rPr>
  </w:style>
  <w:style w:type="character" w:styleId="FollowedHyperlink">
    <w:name w:val="FollowedHyperlink"/>
    <w:basedOn w:val="DefaultParagraphFont"/>
    <w:uiPriority w:val="99"/>
    <w:semiHidden/>
    <w:unhideWhenUsed/>
    <w:rsid w:val="00DC3428"/>
    <w:rPr>
      <w:color w:val="954F72"/>
      <w:u w:val="single"/>
    </w:rPr>
  </w:style>
  <w:style w:type="paragraph" w:styleId="CommentSubject">
    <w:name w:val="annotation subject"/>
    <w:basedOn w:val="CommentText"/>
    <w:next w:val="CommentText"/>
    <w:link w:val="CommentSubjectChar"/>
    <w:uiPriority w:val="99"/>
    <w:semiHidden/>
    <w:unhideWhenUsed/>
    <w:rsid w:val="00DC3428"/>
    <w:rPr>
      <w:b/>
      <w:bCs/>
    </w:rPr>
  </w:style>
  <w:style w:type="character" w:customStyle="1" w:styleId="CommentSubjectChar">
    <w:name w:val="Comment Subject Char"/>
    <w:basedOn w:val="CommentTextChar"/>
    <w:link w:val="CommentSubject"/>
    <w:uiPriority w:val="99"/>
    <w:semiHidden/>
    <w:rsid w:val="00DC3428"/>
    <w:rPr>
      <w:b/>
      <w:bCs/>
      <w:sz w:val="20"/>
      <w:szCs w:val="20"/>
    </w:rPr>
  </w:style>
  <w:style w:type="paragraph" w:styleId="BalloonText">
    <w:name w:val="Balloon Text"/>
    <w:basedOn w:val="Normal"/>
    <w:link w:val="BalloonTextChar"/>
    <w:uiPriority w:val="99"/>
    <w:semiHidden/>
    <w:unhideWhenUsed/>
    <w:rsid w:val="00DC34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3428"/>
    <w:rPr>
      <w:rFonts w:ascii="Segoe UI" w:hAnsi="Segoe UI" w:cs="Segoe UI"/>
      <w:sz w:val="18"/>
      <w:szCs w:val="18"/>
    </w:rPr>
  </w:style>
  <w:style w:type="paragraph" w:styleId="NoSpacing">
    <w:name w:val="No Spacing"/>
    <w:uiPriority w:val="1"/>
    <w:qFormat/>
    <w:rsid w:val="00DC3428"/>
    <w:pPr>
      <w:spacing w:after="0" w:line="240" w:lineRule="auto"/>
    </w:pPr>
  </w:style>
  <w:style w:type="character" w:styleId="PlaceholderText">
    <w:name w:val="Placeholder Text"/>
    <w:basedOn w:val="DefaultParagraphFont"/>
    <w:uiPriority w:val="99"/>
    <w:semiHidden/>
    <w:rsid w:val="00EA538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BD0675-15F2-4B50-A115-C148A5D52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7</Pages>
  <Words>1334</Words>
  <Characters>7034</Characters>
  <Application>Microsoft Office Word</Application>
  <DocSecurity>0</DocSecurity>
  <Lines>140</Lines>
  <Paragraphs>56</Paragraphs>
  <ScaleCrop>false</ScaleCrop>
  <HeadingPairs>
    <vt:vector size="2" baseType="variant">
      <vt:variant>
        <vt:lpstr>Title</vt:lpstr>
      </vt:variant>
      <vt:variant>
        <vt:i4>1</vt:i4>
      </vt:variant>
    </vt:vector>
  </HeadingPairs>
  <TitlesOfParts>
    <vt:vector size="1" baseType="lpstr">
      <vt:lpstr/>
    </vt:vector>
  </TitlesOfParts>
  <Company>University of Notre Dame</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Coppedge</dc:creator>
  <cp:keywords/>
  <dc:description/>
  <cp:lastModifiedBy>Michael Coppedge</cp:lastModifiedBy>
  <cp:revision>4</cp:revision>
  <cp:lastPrinted>2025-07-09T19:18:00Z</cp:lastPrinted>
  <dcterms:created xsi:type="dcterms:W3CDTF">2026-01-12T16:16:00Z</dcterms:created>
  <dcterms:modified xsi:type="dcterms:W3CDTF">2026-01-12T18:51:00Z</dcterms:modified>
</cp:coreProperties>
</file>