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3. Linear Probability Model results regressing index scores on student responses</w:t>
      </w:r>
    </w:p>
    <w:tbl>
      <w:tblPr>
        <w:tblStyle w:val="Table"/>
        <w:tblW w:type="pct" w:w="4875"/>
        <w:tblLayout w:type="fixed"/>
        <w:tblLook w:firstRow="1" w:lastRow="1" w:firstColumn="0" w:lastColumn="0" w:noHBand="0" w:noVBand="0" w:val="0020"/>
        <w:tblCaption w:val="Table 3. Linear Probability Model results regressing index scores on student responses"/>
      </w:tblPr>
      <w:tblGrid>
        <w:gridCol w:w="2442"/>
        <w:gridCol w:w="1320"/>
        <w:gridCol w:w="1254"/>
        <w:gridCol w:w="1452"/>
        <w:gridCol w:w="125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Overall (Rolling)</w:t>
            </w:r>
          </w:p>
        </w:tc>
        <w:tc>
          <w:tcPr/>
          <w:p>
            <w:pPr>
              <w:pStyle w:val="Compact"/>
            </w:pPr>
            <w:r>
              <w:t xml:space="preserve">Overall (Annual)</w:t>
            </w:r>
          </w:p>
        </w:tc>
        <w:tc>
          <w:tcPr/>
          <w:p>
            <w:pPr>
              <w:pStyle w:val="Compact"/>
            </w:pPr>
            <w:r>
              <w:t xml:space="preserve">Components (Annual)</w:t>
            </w:r>
          </w:p>
        </w:tc>
        <w:tc>
          <w:tcPr/>
          <w:p>
            <w:pPr>
              <w:pStyle w:val="Compact"/>
            </w:pPr>
            <w:r>
              <w:t xml:space="preserve">Components (Raw)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(3-Year Rolling Average)</w:t>
            </w:r>
          </w:p>
        </w:tc>
        <w:tc>
          <w:tcPr/>
          <w:p>
            <w:pPr>
              <w:pStyle w:val="Compact"/>
            </w:pPr>
            <w:r>
              <w:t xml:space="preserve">0.825***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(0.208)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Index (Annual Score)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0.978***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Electoral Component (Annual)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(0.588)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Civil Liberties Component (Annual)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0.984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(0.637)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Electoral Component (Raw)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(1.186)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Civil Liberties Component (Raw)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2.016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(1.306)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245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0.561</w:t>
            </w:r>
          </w:p>
        </w:tc>
        <w:tc>
          <w:tcPr/>
          <w:p>
            <w:pPr>
              <w:pStyle w:val="Compact"/>
            </w:pPr>
            <w:r>
              <w:t xml:space="preserve">0.567</w:t>
            </w:r>
          </w:p>
        </w:tc>
        <w:tc>
          <w:tcPr/>
          <w:p>
            <w:pPr>
              <w:pStyle w:val="Compact"/>
            </w:pPr>
            <w:r>
              <w:t xml:space="preserve">0.568</w:t>
            </w:r>
          </w:p>
        </w:tc>
        <w:tc>
          <w:tcPr/>
          <w:p>
            <w:pPr>
              <w:pStyle w:val="Compact"/>
            </w:pPr>
            <w:r>
              <w:t xml:space="preserve">0.568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Arb_id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VIF (max)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13.38</w:t>
            </w:r>
          </w:p>
        </w:tc>
        <w:tc>
          <w:tcPr/>
          <w:p>
            <w:pPr>
              <w:pStyle w:val="Compact"/>
            </w:pPr>
            <w:r>
              <w:t xml:space="preserve">13.38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All models are Linear Probability Models (LPM) with Respondent (Arb_id) Fixed Effects.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Heteroskedasticity-robust standard errors (HC1) used in place of cluster-robust SEs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due to small number of respondent clusters (N = 9); see Cameron &amp; Miller (2015).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VIF calculated on within-respondent demeaned variables (replicating the FE transformation).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VIF is not applicable for single-predictor models (Models 1-2).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2026-04-10T23:04:31Z</dcterms:created>
  <dcterms:modified xsi:type="dcterms:W3CDTF">2026-04-10T23:04:31Z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