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100"/>
        <w:gridCol w:w="1100"/>
        <w:gridCol w:w="2093"/>
        <w:gridCol w:w="2093"/>
        <w:gridCol w:w="2094"/>
      </w:tblGrid>
      <w:tr>
        <w:trPr>
          <w:tblHeader/>
        </w:trPr>
        <w:tc>
          <w:tcPr>
            <w:tcW w:type="dxa" w:w="52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Characteristic</w:t>
            </w:r>
          </w:p>
        </w:tc>
        <w:tc>
          <w:tcPr>
            <w:tcW w:type="dxa" w:w="11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Electoral
Weight</w:t>
            </w:r>
          </w:p>
        </w:tc>
        <w:tc>
          <w:tcPr>
            <w:tcW w:type="dxa" w:w="1100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CL
Weight</w:t>
            </w:r>
          </w:p>
        </w:tc>
        <w:tc>
          <w:tcPr>
            <w:tcW w:type="dxa" w:w="2093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Cocorná
(High)</w:t>
            </w:r>
          </w:p>
        </w:tc>
        <w:tc>
          <w:tcPr>
            <w:tcW w:type="dxa" w:w="2093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Puerto López
(Average)</w:t>
            </w:r>
          </w:p>
        </w:tc>
        <w:tc>
          <w:tcPr>
            <w:tcW w:type="dxa" w:w="2094"/>
            <w:tcBorders>
              <w:top w:val="single" w:color="000000" w:sz="8"/>
              <w:left w:val="none" w:color="FFFFFF" w:sz="0"/>
              <w:bottom w:val="single" w:color="000000" w:sz="8"/>
              <w:right w:val="none" w:color="FFFFFF" w:sz="0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Timbiquí
(Low)</w:t>
            </w:r>
          </w:p>
        </w:tc>
      </w:tr>
      <w:tr>
        <w:tc>
          <w:tcPr>
            <w:tcW w:type="dxa" w:w="52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Urban (above-median rurality)*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0.636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0.636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2094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0.230</w:t>
            </w:r>
          </w:p>
        </w:tc>
      </w:tr>
      <w:tr>
        <w:tc>
          <w:tcPr>
            <w:tcW w:type="dxa" w:w="52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Rural (below-median rurality)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0.727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0.636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0.638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0.769</w:t>
            </w:r>
          </w:p>
        </w:tc>
        <w:tc>
          <w:tcPr>
            <w:tcW w:type="dxa" w:w="2094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52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Higher economic development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0.700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0.636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0.860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0.947</w:t>
            </w:r>
          </w:p>
        </w:tc>
        <w:tc>
          <w:tcPr>
            <w:tcW w:type="dxa" w:w="2094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0.506</w:t>
            </w:r>
          </w:p>
        </w:tc>
      </w:tr>
      <w:tr>
        <w:tc>
          <w:tcPr>
            <w:tcW w:type="dxa" w:w="52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Lower economic development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0.194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0.189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2094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52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Greater proximity to capital*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0.364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0.447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0.672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0.737</w:t>
            </w:r>
          </w:p>
        </w:tc>
        <w:tc>
          <w:tcPr>
            <w:tcW w:type="dxa" w:w="2094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52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Lesser proximity to capital*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1.000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0.818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2094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0.294</w:t>
            </w:r>
          </w:p>
        </w:tc>
      </w:tr>
      <w:tr>
        <w:tc>
          <w:tcPr>
            <w:tcW w:type="dxa" w:w="52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Northern location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0.364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0.364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0.405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0.770</w:t>
            </w:r>
          </w:p>
        </w:tc>
        <w:tc>
          <w:tcPr>
            <w:tcW w:type="dxa" w:w="2094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0.890</w:t>
            </w:r>
          </w:p>
        </w:tc>
      </w:tr>
      <w:tr>
        <w:tc>
          <w:tcPr>
            <w:tcW w:type="dxa" w:w="52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Southern location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0.273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0.455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0.611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0.611</w:t>
            </w:r>
          </w:p>
        </w:tc>
        <w:tc>
          <w:tcPr>
            <w:tcW w:type="dxa" w:w="2094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0.155</w:t>
            </w:r>
          </w:p>
        </w:tc>
      </w:tr>
      <w:tr>
        <w:tc>
          <w:tcPr>
            <w:tcW w:type="dxa" w:w="52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Western location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0.091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0.091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0.404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0.916</w:t>
            </w:r>
          </w:p>
        </w:tc>
        <w:tc>
          <w:tcPr>
            <w:tcW w:type="dxa" w:w="2094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0.036</w:t>
            </w:r>
          </w:p>
        </w:tc>
      </w:tr>
      <w:tr>
        <w:tc>
          <w:tcPr>
            <w:tcW w:type="dxa" w:w="52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Eastern location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0.091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0.091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0.586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0.084</w:t>
            </w:r>
          </w:p>
        </w:tc>
        <w:tc>
          <w:tcPr>
            <w:tcW w:type="dxa" w:w="2094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0.586</w:t>
            </w:r>
          </w:p>
        </w:tc>
      </w:tr>
      <w:tr>
        <w:tc>
          <w:tcPr>
            <w:tcW w:type="dxa" w:w="52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Civil unrest / violence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0.591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0.545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0.838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0.649</w:t>
            </w:r>
          </w:p>
        </w:tc>
        <w:tc>
          <w:tcPr>
            <w:tcW w:type="dxa" w:w="2094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0.632</w:t>
            </w:r>
          </w:p>
        </w:tc>
      </w:tr>
      <w:tr>
        <w:tc>
          <w:tcPr>
            <w:tcW w:type="dxa" w:w="52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Sparse population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0.273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0.455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0.671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0.059</w:t>
            </w:r>
          </w:p>
        </w:tc>
        <w:tc>
          <w:tcPr>
            <w:tcW w:type="dxa" w:w="2094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0.157</w:t>
            </w:r>
          </w:p>
        </w:tc>
      </w:tr>
      <w:tr>
        <w:tc>
          <w:tcPr>
            <w:tcW w:type="dxa" w:w="52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Remoteness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0.545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0.545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0.772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0.510</w:t>
            </w:r>
          </w:p>
        </w:tc>
        <w:tc>
          <w:tcPr>
            <w:tcW w:type="dxa" w:w="2094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0.219</w:t>
            </w:r>
          </w:p>
        </w:tc>
      </w:tr>
      <w:tr>
        <w:tc>
          <w:tcPr>
            <w:tcW w:type="dxa" w:w="52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Indigenous population*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0.636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0.455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0.919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0.166</w:t>
            </w:r>
          </w:p>
        </w:tc>
        <w:tc>
          <w:tcPr>
            <w:tcW w:type="dxa" w:w="2094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0.091</w:t>
            </w:r>
          </w:p>
        </w:tc>
      </w:tr>
      <w:tr>
        <w:tc>
          <w:tcPr>
            <w:tcW w:type="dxa" w:w="52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Ruling party strength — strong*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0.818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0.636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0.964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0.893</w:t>
            </w:r>
          </w:p>
        </w:tc>
        <w:tc>
          <w:tcPr>
            <w:tcW w:type="dxa" w:w="2094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0.000</w:t>
            </w:r>
          </w:p>
        </w:tc>
      </w:tr>
      <w:tr>
        <w:tc>
          <w:tcPr>
            <w:tcW w:type="dxa" w:w="52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Ruling party strength — weak*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0.909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0.727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0.000</w:t>
            </w:r>
          </w:p>
        </w:tc>
        <w:tc>
          <w:tcPr>
            <w:tcW w:type="dxa" w:w="2094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0.008</w:t>
            </w:r>
          </w:p>
        </w:tc>
      </w:tr>
      <w:tr>
        <w:tc>
          <w:tcPr>
            <w:tcW w:type="dxa" w:w="5200"/>
            <w:tcBorders>
              <w:top w:val="single" w:color="000000" w:sz="8"/>
              <w:left w:val="none" w:color="FFFFFF" w:sz="0"/>
              <w:bottom w:val="single" w:color="BBBBBB" w:sz="3"/>
              <w:right w:val="none" w:color="FFFFFF" w:sz="0"/>
            </w:tcBorders>
            <w:shd w:fill="DBE9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Electoral fairness index (snelect)</w:t>
            </w:r>
          </w:p>
        </w:tc>
        <w:tc>
          <w:tcPr>
            <w:tcW w:type="dxa" w:w="1100"/>
            <w:tcBorders>
              <w:top w:val="single" w:color="000000" w:sz="8"/>
              <w:left w:val="none" w:color="FFFFFF" w:sz="0"/>
              <w:bottom w:val="single" w:color="BBBBBB" w:sz="3"/>
              <w:right w:val="none" w:color="FFFFFF" w:sz="0"/>
            </w:tcBorders>
            <w:shd w:fill="DBE9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8"/>
              <w:left w:val="none" w:color="FFFFFF" w:sz="0"/>
              <w:bottom w:val="single" w:color="BBBBBB" w:sz="3"/>
              <w:right w:val="none" w:color="FFFFFF" w:sz="0"/>
            </w:tcBorders>
            <w:shd w:fill="DBE9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93"/>
            <w:tcBorders>
              <w:top w:val="single" w:color="000000" w:sz="8"/>
              <w:left w:val="none" w:color="FFFFFF" w:sz="0"/>
              <w:bottom w:val="single" w:color="BBBBBB" w:sz="3"/>
              <w:right w:val="none" w:color="FFFFFF" w:sz="0"/>
            </w:tcBorders>
            <w:shd w:fill="DBE9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0.503</w:t>
            </w:r>
          </w:p>
        </w:tc>
        <w:tc>
          <w:tcPr>
            <w:tcW w:type="dxa" w:w="2093"/>
            <w:tcBorders>
              <w:top w:val="single" w:color="000000" w:sz="8"/>
              <w:left w:val="none" w:color="FFFFFF" w:sz="0"/>
              <w:bottom w:val="single" w:color="BBBBBB" w:sz="3"/>
              <w:right w:val="none" w:color="FFFFFF" w:sz="0"/>
            </w:tcBorders>
            <w:shd w:fill="DBE9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0.423</w:t>
            </w:r>
          </w:p>
        </w:tc>
        <w:tc>
          <w:tcPr>
            <w:tcW w:type="dxa" w:w="2094"/>
            <w:tcBorders>
              <w:top w:val="single" w:color="000000" w:sz="8"/>
              <w:left w:val="none" w:color="FFFFFF" w:sz="0"/>
              <w:bottom w:val="single" w:color="BBBBBB" w:sz="3"/>
              <w:right w:val="none" w:color="FFFFFF" w:sz="0"/>
            </w:tcBorders>
            <w:shd w:fill="DBE9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0.224</w:t>
            </w:r>
          </w:p>
        </w:tc>
      </w:tr>
      <w:tr>
        <w:tc>
          <w:tcPr>
            <w:tcW w:type="dxa" w:w="52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DBE9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Civil liberties index (sncivlib)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DBE9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DBE9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DBE9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0.515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DBE9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0.437</w:t>
            </w:r>
          </w:p>
        </w:tc>
        <w:tc>
          <w:tcPr>
            <w:tcW w:type="dxa" w:w="2094"/>
            <w:tcBorders>
              <w:top w:val="single" w:color="BBBBBB" w:sz="3"/>
              <w:left w:val="none" w:color="FFFFFF" w:sz="0"/>
              <w:bottom w:val="single" w:color="BBBBBB" w:sz="3"/>
              <w:right w:val="none" w:color="FFFFFF" w:sz="0"/>
            </w:tcBorders>
            <w:shd w:fill="DBE9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0.226</w:t>
            </w:r>
          </w:p>
        </w:tc>
      </w:tr>
      <w:tr>
        <w:tc>
          <w:tcPr>
            <w:tcW w:type="dxa" w:w="5200"/>
            <w:tcBorders>
              <w:top w:val="single" w:color="BBBBBB" w:sz="3"/>
              <w:left w:val="none" w:color="FFFFFF" w:sz="0"/>
              <w:bottom w:val="single" w:color="000000" w:sz="8"/>
              <w:right w:val="none" w:color="FFFFFF" w:sz="0"/>
            </w:tcBorders>
            <w:shd w:fill="DBE9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Composite democracy (sndem)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000000" w:sz="8"/>
              <w:right w:val="none" w:color="FFFFFF" w:sz="0"/>
            </w:tcBorders>
            <w:shd w:fill="DBE9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BBBBB" w:sz="3"/>
              <w:left w:val="none" w:color="FFFFFF" w:sz="0"/>
              <w:bottom w:val="single" w:color="000000" w:sz="8"/>
              <w:right w:val="none" w:color="FFFFFF" w:sz="0"/>
            </w:tcBorders>
            <w:shd w:fill="DBE9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000000" w:sz="8"/>
              <w:right w:val="none" w:color="FFFFFF" w:sz="0"/>
            </w:tcBorders>
            <w:shd w:fill="DBE9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0.509</w:t>
            </w:r>
          </w:p>
        </w:tc>
        <w:tc>
          <w:tcPr>
            <w:tcW w:type="dxa" w:w="2093"/>
            <w:tcBorders>
              <w:top w:val="single" w:color="BBBBBB" w:sz="3"/>
              <w:left w:val="none" w:color="FFFFFF" w:sz="0"/>
              <w:bottom w:val="single" w:color="000000" w:sz="8"/>
              <w:right w:val="none" w:color="FFFFFF" w:sz="0"/>
            </w:tcBorders>
            <w:shd w:fill="DBE9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0.430</w:t>
            </w:r>
          </w:p>
        </w:tc>
        <w:tc>
          <w:tcPr>
            <w:tcW w:type="dxa" w:w="2094"/>
            <w:tcBorders>
              <w:top w:val="single" w:color="BBBBBB" w:sz="3"/>
              <w:left w:val="none" w:color="FFFFFF" w:sz="0"/>
              <w:bottom w:val="single" w:color="000000" w:sz="8"/>
              <w:right w:val="none" w:color="FFFFFF" w:sz="0"/>
            </w:tcBorders>
            <w:shd w:fill="DBE9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0.225</w:t>
            </w:r>
          </w:p>
        </w:tc>
      </w:tr>
    </w:tbl>
    <w:p>
      <w:pPr>
        <w:spacing w:before="100"/>
      </w:pPr>
      <w:r>
        <w:rPr>
          <w:rFonts w:ascii="Times New Roman" w:cs="Times New Roman" w:eastAsia="Times New Roman" w:hAnsi="Times New Roman"/>
          <w:b/>
          <w:bCs/>
          <w:sz w:val="16"/>
          <w:szCs w:val="16"/>
        </w:rPr>
        <w:t xml:space="preserve">Table X.  </w:t>
      </w:r>
      <w:r>
        <w:rPr>
          <w:rFonts w:ascii="Times New Roman" w:cs="Times New Roman" w:eastAsia="Times New Roman" w:hAnsi="Times New Roman"/>
          <w:sz w:val="16"/>
          <w:szCs w:val="16"/>
        </w:rPr>
        <w:t xml:space="preserve">Geopredictor values and V-Dem expert weights for three illustrative Colombian municipalities (2023). Electoral Weight and CL Weight are the V-Dem expert-derived weights applied to each geopredictor in the electoral fairness (snelect) and civil liberties (sncivlib) formulas respectively. Geopredictor values (Columns 4–6) are standardized to a 0–1 scale using the empirical cumulative distribution function; a value of 0 indicates the municipality falls in the lower half of the distribution for that characteristic. Paired characteristics (urban/rural, higher/lower development, etc.) receive separate weights for each half of the distribution. Rows marked * use inverted weights (computed as 1 − raw V-Dem proportion), indicating that experts associate those characteristics with stronger, rather than weaker, democratic conditions. Shaded rows report the resulting index scores. sndem = mean of snelect and sncivlib.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2026-04-10T21:15:59.417Z</dcterms:created>
  <dcterms:modified xsi:type="dcterms:W3CDTF">2026-04-10T21:15:59.418Z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