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00" w:line="259" w:lineRule="auto"/>
        <w:ind w:left="224" w:firstLine="0"/>
        <w:jc w:val="center"/>
        <w:rPr>
          <w:sz w:val="22"/>
          <w:szCs w:val="22"/>
        </w:rPr>
      </w:pPr>
      <w:r w:rsidDel="00000000" w:rsidR="00000000" w:rsidRPr="00000000">
        <w:rPr>
          <w:sz w:val="36"/>
          <w:szCs w:val="36"/>
          <w:rtl w:val="0"/>
        </w:rPr>
        <w:t xml:space="preserve">Visualizing subnational democracy using Varieties of Democracy</w:t>
      </w:r>
      <w:r w:rsidDel="00000000" w:rsidR="00000000" w:rsidRPr="00000000">
        <w:rPr>
          <w:sz w:val="22"/>
          <w:szCs w:val="22"/>
          <w:rtl w:val="0"/>
        </w:rPr>
        <w:t xml:space="preserve"> </w:t>
      </w:r>
      <w:r w:rsidDel="00000000" w:rsidR="00000000" w:rsidRPr="00000000">
        <w:rPr>
          <w:sz w:val="36"/>
          <w:szCs w:val="36"/>
          <w:rtl w:val="0"/>
        </w:rPr>
        <w:t xml:space="preserve">(V-Dem) survey data</w:t>
      </w:r>
      <w:r w:rsidDel="00000000" w:rsidR="00000000" w:rsidRPr="00000000">
        <w:rPr>
          <w:rtl w:val="0"/>
        </w:rPr>
      </w:r>
    </w:p>
    <w:p w:rsidR="00000000" w:rsidDel="00000000" w:rsidP="00000000" w:rsidRDefault="00000000" w:rsidRPr="00000000" w14:paraId="00000002">
      <w:pPr>
        <w:spacing w:after="534" w:line="287" w:lineRule="auto"/>
        <w:ind w:left="85" w:right="75" w:firstLine="0"/>
        <w:jc w:val="center"/>
        <w:rPr>
          <w:sz w:val="22"/>
          <w:szCs w:val="22"/>
        </w:rPr>
      </w:pPr>
      <w:r w:rsidDel="00000000" w:rsidR="00000000" w:rsidRPr="00000000">
        <w:rPr>
          <w:sz w:val="26"/>
          <w:szCs w:val="26"/>
          <w:rtl w:val="0"/>
        </w:rPr>
        <w:t xml:space="preserve">An application using the case of Colombia</w:t>
      </w:r>
      <w:r w:rsidDel="00000000" w:rsidR="00000000" w:rsidRPr="00000000">
        <w:rPr>
          <w:rtl w:val="0"/>
        </w:rPr>
      </w:r>
    </w:p>
    <w:p w:rsidR="00000000" w:rsidDel="00000000" w:rsidP="00000000" w:rsidRDefault="00000000" w:rsidRPr="00000000" w14:paraId="00000003">
      <w:pPr>
        <w:spacing w:after="438" w:line="287" w:lineRule="auto"/>
        <w:ind w:left="85" w:firstLine="0"/>
        <w:jc w:val="center"/>
        <w:rPr>
          <w:sz w:val="22"/>
          <w:szCs w:val="22"/>
        </w:rPr>
      </w:pPr>
      <w:r w:rsidDel="00000000" w:rsidR="00000000" w:rsidRPr="00000000">
        <w:rPr>
          <w:sz w:val="26"/>
          <w:szCs w:val="26"/>
          <w:rtl w:val="0"/>
        </w:rPr>
        <w:t xml:space="preserve">Patrick McQuestion</w:t>
      </w:r>
      <w:r w:rsidDel="00000000" w:rsidR="00000000" w:rsidRPr="00000000">
        <w:rPr>
          <w:sz w:val="26"/>
          <w:szCs w:val="26"/>
          <w:vertAlign w:val="superscript"/>
        </w:rPr>
        <w:footnoteReference w:customMarkFollows="0" w:id="0"/>
      </w:r>
      <w:r w:rsidDel="00000000" w:rsidR="00000000" w:rsidRPr="00000000">
        <w:rPr>
          <w:sz w:val="26"/>
          <w:szCs w:val="26"/>
          <w:rtl w:val="0"/>
        </w:rPr>
        <w:t xml:space="preserve">, Michael Coppedge</w:t>
      </w:r>
      <w:r w:rsidDel="00000000" w:rsidR="00000000" w:rsidRPr="00000000">
        <w:rPr>
          <w:sz w:val="26"/>
          <w:szCs w:val="26"/>
          <w:vertAlign w:val="superscript"/>
        </w:rPr>
        <w:footnoteReference w:customMarkFollows="0" w:id="1"/>
      </w:r>
      <w:r w:rsidDel="00000000" w:rsidR="00000000" w:rsidRPr="00000000">
        <w:rPr>
          <w:sz w:val="26"/>
          <w:szCs w:val="26"/>
          <w:rtl w:val="0"/>
        </w:rPr>
        <w:t xml:space="preserve">, Matthew Sisk</w:t>
      </w:r>
      <w:r w:rsidDel="00000000" w:rsidR="00000000" w:rsidRPr="00000000">
        <w:rPr>
          <w:sz w:val="26"/>
          <w:szCs w:val="26"/>
          <w:vertAlign w:val="superscript"/>
        </w:rPr>
        <w:footnoteReference w:customMarkFollows="0" w:id="2"/>
      </w:r>
      <w:r w:rsidDel="00000000" w:rsidR="00000000" w:rsidRPr="00000000">
        <w:rPr>
          <w:rtl w:val="0"/>
        </w:rPr>
      </w:r>
    </w:p>
    <w:p w:rsidR="00000000" w:rsidDel="00000000" w:rsidP="00000000" w:rsidRDefault="00000000" w:rsidRPr="00000000" w14:paraId="00000004">
      <w:pPr>
        <w:spacing w:after="855" w:line="287" w:lineRule="auto"/>
        <w:ind w:left="85" w:right="75" w:firstLine="0"/>
        <w:jc w:val="center"/>
        <w:rPr>
          <w:sz w:val="22"/>
          <w:szCs w:val="22"/>
        </w:rPr>
      </w:pPr>
      <w:r w:rsidDel="00000000" w:rsidR="00000000" w:rsidRPr="00000000">
        <w:rPr>
          <w:sz w:val="26"/>
          <w:szCs w:val="26"/>
          <w:rtl w:val="0"/>
        </w:rPr>
        <w:t xml:space="preserve">First version: 04 February 2024. This version: 22 April 2024.</w:t>
      </w:r>
      <w:r w:rsidDel="00000000" w:rsidR="00000000" w:rsidRPr="00000000">
        <w:rPr>
          <w:rtl w:val="0"/>
        </w:rPr>
      </w:r>
    </w:p>
    <w:p w:rsidR="00000000" w:rsidDel="00000000" w:rsidP="00000000" w:rsidRDefault="00000000" w:rsidRPr="00000000" w14:paraId="00000005">
      <w:pPr>
        <w:pStyle w:val="Heading1"/>
        <w:spacing w:after="290" w:lineRule="auto"/>
        <w:jc w:val="center"/>
        <w:rPr>
          <w:sz w:val="31"/>
          <w:szCs w:val="31"/>
        </w:rPr>
      </w:pPr>
      <w:r w:rsidDel="00000000" w:rsidR="00000000" w:rsidRPr="00000000">
        <w:rPr>
          <w:sz w:val="20"/>
          <w:szCs w:val="20"/>
          <w:rtl w:val="0"/>
        </w:rPr>
        <w:t xml:space="preserve">Abstract</w:t>
      </w:r>
      <w:r w:rsidDel="00000000" w:rsidR="00000000" w:rsidRPr="00000000">
        <w:rPr>
          <w:rtl w:val="0"/>
        </w:rPr>
      </w:r>
    </w:p>
    <w:p w:rsidR="00000000" w:rsidDel="00000000" w:rsidP="00000000" w:rsidRDefault="00000000" w:rsidRPr="00000000" w14:paraId="00000006">
      <w:pPr>
        <w:spacing w:after="656" w:line="422" w:lineRule="auto"/>
        <w:ind w:left="498" w:right="498" w:firstLine="268.9999999999999"/>
        <w:rPr>
          <w:sz w:val="22"/>
          <w:szCs w:val="22"/>
        </w:rPr>
      </w:pPr>
      <w:r w:rsidDel="00000000" w:rsidR="00000000" w:rsidRPr="00000000">
        <w:rPr>
          <w:rtl w:val="0"/>
        </w:rPr>
        <w:t xml:space="preserve">The objective of this methodological paper is to utilize Varieties of Democracy (V-Dem) survey data and external geo-located data to map levels of subnational democracy. This effort in democracy studies is data-driven and descriptive (Coppedge 2012). We describe the measurement process applied to one country (Colombia) in order to stimulate discussion on the methodological potential for V-Dem data to be used to measure democracy within countries. After describing the structure of V-Dem data, this paper introduces a process for compiling and visualizing subnational data based on V-Dem, starting with the systematic conceptualization of the background concepts contained in the survey, assigning measures to those concepts on a geographic scale, and then identifying subnational scores. We demonstrate this process for a portion of the 21 response items in the survey.</w:t>
      </w:r>
      <w:r w:rsidDel="00000000" w:rsidR="00000000" w:rsidRPr="00000000">
        <w:rPr>
          <w:rtl w:val="0"/>
        </w:rPr>
      </w:r>
    </w:p>
    <w:p w:rsidR="00000000" w:rsidDel="00000000" w:rsidP="00000000" w:rsidRDefault="00000000" w:rsidRPr="00000000" w14:paraId="00000007">
      <w:pPr>
        <w:pStyle w:val="Heading1"/>
        <w:numPr>
          <w:ilvl w:val="0"/>
          <w:numId w:val="4"/>
        </w:numPr>
        <w:ind w:left="433" w:hanging="448"/>
        <w:rPr>
          <w:sz w:val="31"/>
          <w:szCs w:val="31"/>
        </w:rPr>
      </w:pPr>
      <w:r w:rsidDel="00000000" w:rsidR="00000000" w:rsidRPr="00000000">
        <w:rPr>
          <w:sz w:val="31"/>
          <w:szCs w:val="31"/>
          <w:rtl w:val="0"/>
        </w:rPr>
        <w:t xml:space="preserve">Introduction</w:t>
      </w:r>
    </w:p>
    <w:p w:rsidR="00000000" w:rsidDel="00000000" w:rsidP="00000000" w:rsidRDefault="00000000" w:rsidRPr="00000000" w14:paraId="00000008">
      <w:pPr>
        <w:spacing w:after="112" w:lineRule="auto"/>
        <w:ind w:left="-5" w:firstLine="0"/>
        <w:rPr>
          <w:sz w:val="22"/>
          <w:szCs w:val="22"/>
        </w:rPr>
      </w:pPr>
      <w:r w:rsidDel="00000000" w:rsidR="00000000" w:rsidRPr="00000000">
        <w:rPr>
          <w:sz w:val="22"/>
          <w:szCs w:val="22"/>
          <w:rtl w:val="0"/>
        </w:rPr>
        <w:t xml:space="preserve">There is a need for subnational data on many political phenomena – violence, democracy, service provision, human rights, gender relations, discrimination, and a range of other topics. The need is especially great in large countries, which are likely to contain considerable geographic variation on these dimensions within their borders. To the extent that such variation exists, claims about the “typical” levels of these dimensions for whole countries are less useful, either as descriptions or as independent or dependent variables. In this paper, we demonstrate a technique for combining several underexplored V-Dem variables with geocoded demographic and political data to measure levels of democracy in Colombia at the municipal level.</w:t>
      </w:r>
    </w:p>
    <w:p w:rsidR="00000000" w:rsidDel="00000000" w:rsidP="00000000" w:rsidRDefault="00000000" w:rsidRPr="00000000" w14:paraId="00000009">
      <w:pPr>
        <w:spacing w:after="112" w:lineRule="auto"/>
        <w:ind w:left="-5" w:firstLine="0"/>
        <w:rPr>
          <w:sz w:val="22"/>
          <w:szCs w:val="22"/>
        </w:rPr>
      </w:pPr>
      <w:r w:rsidDel="00000000" w:rsidR="00000000" w:rsidRPr="00000000">
        <w:rPr>
          <w:sz w:val="22"/>
          <w:szCs w:val="22"/>
          <w:rtl w:val="0"/>
        </w:rPr>
        <w:t xml:space="preserve">While data based on direct observation are generally assumed to be superior, there are some drawbacks to this data collection strategy below the national-level. In the first place, hard information about subnational units, such as states or provinces, counties or municipalities, or especially smaller districts, is often scarce. Second, even if the information exists, it can be difficult or expensive to obtain, and may be collected in unstandardized ways. Third, such “objective” data – counts, texts, etc. – can be invalid when it captures only a small part of the concept one needs to measure. It may be feasible to count the number of newspapers and broadcasters in a locality, but a valid measure of freedom of information, for example, should also consider the size of their audiences, their ability to carry out independent investigations, or their editorial autonomy. Fourth, whether a directly observable measure matters is often conditional on other factors. The lack of arrests of journalists in North Korea is not evidence of press freedom; governing parties sometimes win elections for decades even when elections are very competitive; party platforms and speeches are often insincere and inaccurate; and texts of constitutions and laws can be “parchment” rules, dead letters that are not implemented in practice.</w:t>
      </w:r>
    </w:p>
    <w:p w:rsidR="00000000" w:rsidDel="00000000" w:rsidP="00000000" w:rsidRDefault="00000000" w:rsidRPr="00000000" w14:paraId="0000000A">
      <w:pPr>
        <w:spacing w:after="112" w:lineRule="auto"/>
        <w:ind w:left="-5" w:firstLine="0"/>
        <w:rPr>
          <w:sz w:val="22"/>
          <w:szCs w:val="22"/>
        </w:rPr>
      </w:pPr>
      <w:r w:rsidDel="00000000" w:rsidR="00000000" w:rsidRPr="00000000">
        <w:rPr>
          <w:sz w:val="22"/>
          <w:szCs w:val="22"/>
          <w:rtl w:val="0"/>
        </w:rPr>
        <w:t xml:space="preserve">For these reasons, there are sometimes advantages to following an alternative measurement strategy: relying on the subjective judgments of multiple country experts. This approach can compensate for some of the weaknesses of “objective” data (Bernhard et al. 2017). Experts absorb information from multiple sources – reading, following news, conversations, personal experiences, and deep familiarity with the context. This enables them to reconcile diverse and often conflicting kinds of information and synthesize it into an internally consistent account of how things work. Their understanding extends to a sense of the past and the direction of trends. Because they possess this depth of understanding, experts are less likely to be deceived by insincere statements or </w:t>
      </w:r>
      <w:r w:rsidDel="00000000" w:rsidR="00000000" w:rsidRPr="00000000">
        <w:rPr>
          <w:i w:val="1"/>
          <w:sz w:val="22"/>
          <w:szCs w:val="22"/>
          <w:rtl w:val="0"/>
        </w:rPr>
        <w:t xml:space="preserve">de jure </w:t>
      </w:r>
      <w:r w:rsidDel="00000000" w:rsidR="00000000" w:rsidRPr="00000000">
        <w:rPr>
          <w:sz w:val="22"/>
          <w:szCs w:val="22"/>
          <w:rtl w:val="0"/>
        </w:rPr>
        <w:t xml:space="preserve">arrangements that are ignored in practice, and they are less likely to consider one attribute definitive when they know that other conditions render it irrelevant.</w:t>
      </w:r>
    </w:p>
    <w:p w:rsidR="00000000" w:rsidDel="00000000" w:rsidP="00000000" w:rsidRDefault="00000000" w:rsidRPr="00000000" w14:paraId="0000000B">
      <w:pPr>
        <w:ind w:left="-5" w:firstLine="0"/>
        <w:rPr>
          <w:sz w:val="22"/>
          <w:szCs w:val="22"/>
        </w:rPr>
      </w:pPr>
      <w:r w:rsidDel="00000000" w:rsidR="00000000" w:rsidRPr="00000000">
        <w:rPr>
          <w:sz w:val="22"/>
          <w:szCs w:val="22"/>
          <w:rtl w:val="0"/>
        </w:rPr>
        <w:t xml:space="preserve">Of course, there is also an obvious disadvantage to subjective knowledge: different experts tend to synthesize somewhat different understandings. They arrive at different interpretations of the same reality. This is why it is crucial to consult multiple experts, which makes it possible to have greater confidence in the interpretations on which experts agree, and to exercise prudent caution about matters on which there is little agreement. Post hoc validation is also essential. There are no guarantees that subjective ratings will yield useful information, but it is worth trying as long as we also subject the outcomes to multiple forms of validation.</w:t>
      </w:r>
    </w:p>
    <w:p w:rsidR="00000000" w:rsidDel="00000000" w:rsidP="00000000" w:rsidRDefault="00000000" w:rsidRPr="00000000" w14:paraId="0000000C">
      <w:pPr>
        <w:pStyle w:val="Heading2"/>
        <w:numPr>
          <w:ilvl w:val="1"/>
          <w:numId w:val="4"/>
        </w:numPr>
        <w:ind w:left="568" w:hanging="583"/>
        <w:rPr>
          <w:sz w:val="26"/>
          <w:szCs w:val="26"/>
        </w:rPr>
      </w:pPr>
      <w:r w:rsidDel="00000000" w:rsidR="00000000" w:rsidRPr="00000000">
        <w:rPr>
          <w:sz w:val="26"/>
          <w:szCs w:val="26"/>
          <w:rtl w:val="0"/>
        </w:rPr>
        <w:t xml:space="preserve">Measuring subnational democracy</w:t>
      </w:r>
    </w:p>
    <w:p w:rsidR="00000000" w:rsidDel="00000000" w:rsidP="00000000" w:rsidRDefault="00000000" w:rsidRPr="00000000" w14:paraId="0000000D">
      <w:pPr>
        <w:spacing w:after="123" w:lineRule="auto"/>
        <w:ind w:left="-5" w:firstLine="0"/>
        <w:rPr>
          <w:sz w:val="22"/>
          <w:szCs w:val="22"/>
        </w:rPr>
      </w:pPr>
      <w:r w:rsidDel="00000000" w:rsidR="00000000" w:rsidRPr="00000000">
        <w:rPr>
          <w:sz w:val="22"/>
          <w:szCs w:val="22"/>
          <w:rtl w:val="0"/>
        </w:rPr>
        <w:t xml:space="preserve">Subnational democracy is an area where subjective expert ratings have the potential to improve measurement. There are hundreds of democracy measures, but almost all of them are at the national level of analysis (Bernhard, Nordstrom, and Reenock 2001; Bertelsmann Stiftung 2005; Boix, Miller, and Rosato 2013; Bühlmann, Merkel, and Wessels 2008; Coppedge et al. 2023; </w:t>
      </w:r>
      <w:r w:rsidDel="00000000" w:rsidR="00000000" w:rsidRPr="00000000">
        <w:rPr>
          <w:i w:val="1"/>
          <w:sz w:val="22"/>
          <w:szCs w:val="22"/>
          <w:rtl w:val="0"/>
        </w:rPr>
        <w:t xml:space="preserve">Democracy Index 2010: Democracy in Retreat </w:t>
      </w:r>
      <w:r w:rsidDel="00000000" w:rsidR="00000000" w:rsidRPr="00000000">
        <w:rPr>
          <w:sz w:val="22"/>
          <w:szCs w:val="22"/>
          <w:rtl w:val="0"/>
        </w:rPr>
        <w:t xml:space="preserve">2010; House 2015; Marshall and Jaggers 2014; Pemstein, Meserve, and Melton 2010; Przeworski and Limongi 1997; Skaaning, Gerring, and Bartusevičius 2015; Vanhanen 2000).</w:t>
      </w:r>
    </w:p>
    <w:p w:rsidR="00000000" w:rsidDel="00000000" w:rsidP="00000000" w:rsidRDefault="00000000" w:rsidRPr="00000000" w14:paraId="0000000E">
      <w:pPr>
        <w:spacing w:after="112" w:lineRule="auto"/>
        <w:ind w:left="-5" w:firstLine="0"/>
        <w:rPr>
          <w:sz w:val="22"/>
          <w:szCs w:val="22"/>
        </w:rPr>
      </w:pPr>
      <w:r w:rsidDel="00000000" w:rsidR="00000000" w:rsidRPr="00000000">
        <w:rPr>
          <w:sz w:val="22"/>
          <w:szCs w:val="22"/>
          <w:rtl w:val="0"/>
        </w:rPr>
        <w:t xml:space="preserve">The few exceptions (Gervasoni 2010; Giraudy 2013; McMann and Maguire 2018; Mickey 2015) cover only one country (although Giraudy does two). In a recent methodological effort, Pérez Sandoval (2023) designed an Index of Subnational Electoral Democracy (ISED). The ISED tracks electoral outcomes at the provincial level (the first jurisdictions below the national-level) for 11 countries over 40 years, using a framework attuned to the complexities around territorial conflation around country-level systems such as judicial branches and political parties. However, this index relies on electoral data rather than country expertise. As alerted to earlier, electoral data may be collected in non-standardized ways, especially in local jurisdictions. More importantly, the number of parties may not always signify a competitive political climate, nor does vote count always imply effective democratic participation. As pointed out earlier, without considering the relevance of other factors, such as the strength of civil liberties, electoral information alone may not provide a valid measure of subnational democracy.</w:t>
      </w:r>
    </w:p>
    <w:p w:rsidR="00000000" w:rsidDel="00000000" w:rsidP="00000000" w:rsidRDefault="00000000" w:rsidRPr="00000000" w14:paraId="0000000F">
      <w:pPr>
        <w:spacing w:after="114" w:lineRule="auto"/>
        <w:ind w:left="-5" w:firstLine="0"/>
        <w:rPr>
          <w:sz w:val="22"/>
          <w:szCs w:val="22"/>
        </w:rPr>
      </w:pPr>
      <w:r w:rsidDel="00000000" w:rsidR="00000000" w:rsidRPr="00000000">
        <w:rPr>
          <w:sz w:val="22"/>
          <w:szCs w:val="22"/>
          <w:rtl w:val="0"/>
        </w:rPr>
        <w:t xml:space="preserve">In addition to providing a novel subnational index, Perez Sandoval offers a helpful overview of the concepts, operations, and data collection methods used by other researchers of subnational democracy. Among the eleven authors cited, only four– Hernández Valdez (2000), Ortega and Somuano in Meixueiro Nájera and Moreno Pérez (2014), Gervasoni (2018), and Grumbach (2023) –attempt to measure beyond the electoral dimension of democracy at the subnational level. These authors include measures of civil liberties components-such as human rights violations, local radio and newspapers, or institutional constraints--however only for individual countries (Mexico, Argentina, and the United States) and at the provincial or state level. All four authors use advanced data reduction techniques, such as Bayesian factor analysis or principal component analysis, to arrive at subnational democracy scores.</w:t>
      </w:r>
    </w:p>
    <w:p w:rsidR="00000000" w:rsidDel="00000000" w:rsidP="00000000" w:rsidRDefault="00000000" w:rsidRPr="00000000" w14:paraId="00000010">
      <w:pPr>
        <w:ind w:left="-5" w:firstLine="0"/>
        <w:rPr>
          <w:sz w:val="22"/>
          <w:szCs w:val="22"/>
        </w:rPr>
      </w:pPr>
      <w:r w:rsidDel="00000000" w:rsidR="00000000" w:rsidRPr="00000000">
        <w:rPr>
          <w:sz w:val="22"/>
          <w:szCs w:val="22"/>
          <w:rtl w:val="0"/>
        </w:rPr>
        <w:t xml:space="preserve">Finally, pivoting to subjective expert data, McMann et al. (2021) use a selection of V-Dem variables to measure “unevenness” of elections and civil liberties in most countries, but theirs is a national-level concept that tells us nothing about where democracy is better or worse within a state.</w:t>
      </w:r>
    </w:p>
    <w:p w:rsidR="00000000" w:rsidDel="00000000" w:rsidP="00000000" w:rsidRDefault="00000000" w:rsidRPr="00000000" w14:paraId="00000011">
      <w:pPr>
        <w:pStyle w:val="Heading2"/>
        <w:numPr>
          <w:ilvl w:val="1"/>
          <w:numId w:val="4"/>
        </w:numPr>
        <w:ind w:left="568" w:hanging="583"/>
        <w:rPr>
          <w:sz w:val="26"/>
          <w:szCs w:val="26"/>
        </w:rPr>
      </w:pPr>
      <w:r w:rsidDel="00000000" w:rsidR="00000000" w:rsidRPr="00000000">
        <w:rPr>
          <w:sz w:val="26"/>
          <w:szCs w:val="26"/>
          <w:rtl w:val="0"/>
        </w:rPr>
        <w:t xml:space="preserve">V-Dem subnational data</w:t>
      </w:r>
    </w:p>
    <w:p w:rsidR="00000000" w:rsidDel="00000000" w:rsidP="00000000" w:rsidRDefault="00000000" w:rsidRPr="00000000" w14:paraId="00000012">
      <w:pPr>
        <w:spacing w:after="221" w:lineRule="auto"/>
        <w:ind w:left="-5" w:firstLine="0"/>
        <w:rPr>
          <w:sz w:val="22"/>
          <w:szCs w:val="22"/>
        </w:rPr>
      </w:pPr>
      <w:r w:rsidDel="00000000" w:rsidR="00000000" w:rsidRPr="00000000">
        <w:rPr>
          <w:sz w:val="22"/>
          <w:szCs w:val="22"/>
          <w:rtl w:val="0"/>
        </w:rPr>
        <w:t xml:space="preserve">V-Dem data contains several variables that provide a partial path to measurement at the subnational level. There are four questions on elections and civil liberties: Subnational election area less free and fair characteristics (</w:t>
      </w:r>
      <w:r w:rsidDel="00000000" w:rsidR="00000000" w:rsidRPr="00000000">
        <w:rPr>
          <w:rFonts w:ascii="Courier New" w:cs="Courier New" w:eastAsia="Courier New" w:hAnsi="Courier New"/>
          <w:sz w:val="22"/>
          <w:szCs w:val="22"/>
          <w:rtl w:val="0"/>
        </w:rPr>
        <w:t xml:space="preserve">v2elsnlfc</w:t>
      </w:r>
      <w:r w:rsidDel="00000000" w:rsidR="00000000" w:rsidRPr="00000000">
        <w:rPr>
          <w:sz w:val="22"/>
          <w:szCs w:val="22"/>
          <w:rtl w:val="0"/>
        </w:rPr>
        <w:t xml:space="preserve">), Subnational election area more free and fair characteristics (</w:t>
      </w:r>
      <w:r w:rsidDel="00000000" w:rsidR="00000000" w:rsidRPr="00000000">
        <w:rPr>
          <w:rFonts w:ascii="Courier New" w:cs="Courier New" w:eastAsia="Courier New" w:hAnsi="Courier New"/>
          <w:sz w:val="22"/>
          <w:szCs w:val="22"/>
          <w:rtl w:val="0"/>
        </w:rPr>
        <w:t xml:space="preserve">v2elsnmrfc</w:t>
      </w:r>
      <w:r w:rsidDel="00000000" w:rsidR="00000000" w:rsidRPr="00000000">
        <w:rPr>
          <w:sz w:val="22"/>
          <w:szCs w:val="22"/>
          <w:rtl w:val="0"/>
        </w:rPr>
        <w:t xml:space="preserve">), Stronger civil liberties characteristics (</w:t>
      </w:r>
      <w:r w:rsidDel="00000000" w:rsidR="00000000" w:rsidRPr="00000000">
        <w:rPr>
          <w:rFonts w:ascii="Courier New" w:cs="Courier New" w:eastAsia="Courier New" w:hAnsi="Courier New"/>
          <w:sz w:val="22"/>
          <w:szCs w:val="22"/>
          <w:rtl w:val="0"/>
        </w:rPr>
        <w:t xml:space="preserve">v2clrgstch</w:t>
      </w:r>
      <w:r w:rsidDel="00000000" w:rsidR="00000000" w:rsidRPr="00000000">
        <w:rPr>
          <w:sz w:val="22"/>
          <w:szCs w:val="22"/>
          <w:rtl w:val="0"/>
        </w:rPr>
        <w:t xml:space="preserve">), and Weaker civil liberties characteristics (</w:t>
      </w:r>
      <w:r w:rsidDel="00000000" w:rsidR="00000000" w:rsidRPr="00000000">
        <w:rPr>
          <w:rFonts w:ascii="Courier New" w:cs="Courier New" w:eastAsia="Courier New" w:hAnsi="Courier New"/>
          <w:sz w:val="22"/>
          <w:szCs w:val="22"/>
          <w:rtl w:val="0"/>
        </w:rPr>
        <w:t xml:space="preserve">v2clrgwkch</w:t>
      </w:r>
      <w:r w:rsidDel="00000000" w:rsidR="00000000" w:rsidRPr="00000000">
        <w:rPr>
          <w:sz w:val="22"/>
          <w:szCs w:val="22"/>
          <w:rtl w:val="0"/>
        </w:rPr>
        <w:t xml:space="preserve">). Although elections and civil liberties are far from capturing every aspect of democracy, they cover the two most central criteria for polyarchy (Dahl 1971).</w:t>
      </w:r>
    </w:p>
    <w:p w:rsidR="00000000" w:rsidDel="00000000" w:rsidP="00000000" w:rsidRDefault="00000000" w:rsidRPr="00000000" w14:paraId="00000013">
      <w:pPr>
        <w:spacing w:after="0" w:line="259" w:lineRule="auto"/>
        <w:ind w:left="0" w:firstLine="0"/>
        <w:jc w:val="center"/>
        <w:rPr>
          <w:sz w:val="22"/>
          <w:szCs w:val="22"/>
        </w:rPr>
      </w:pPr>
      <w:r w:rsidDel="00000000" w:rsidR="00000000" w:rsidRPr="00000000">
        <w:rPr>
          <w:sz w:val="22"/>
          <w:szCs w:val="22"/>
          <w:rtl w:val="0"/>
        </w:rPr>
        <w:t xml:space="preserve">Table 1: V-Dem questions and clarifications</w:t>
      </w:r>
    </w:p>
    <w:p w:rsidR="00000000" w:rsidDel="00000000" w:rsidP="00000000" w:rsidRDefault="00000000" w:rsidRPr="00000000" w14:paraId="00000014">
      <w:pPr>
        <w:spacing w:after="11" w:line="259" w:lineRule="auto"/>
        <w:ind w:left="110" w:firstLine="0"/>
        <w:jc w:val="left"/>
        <w:rPr>
          <w:sz w:val="22"/>
          <w:szCs w:val="22"/>
        </w:rPr>
      </w:pPr>
      <w:r w:rsidDel="00000000" w:rsidR="00000000" w:rsidRPr="00000000">
        <w:rPr>
          <w:rFonts w:ascii="Calibri" w:cs="Calibri" w:eastAsia="Calibri" w:hAnsi="Calibri"/>
          <w:sz w:val="24"/>
          <w:szCs w:val="24"/>
        </w:rPr>
        <mc:AlternateContent>
          <mc:Choice Requires="wpg">
            <w:drawing>
              <wp:inline distB="0" distT="0" distL="0" distR="0">
                <wp:extent cx="5845655" cy="5061"/>
                <wp:effectExtent b="0" l="0" r="0" t="0"/>
                <wp:docPr id="15390" name=""/>
                <a:graphic>
                  <a:graphicData uri="http://schemas.microsoft.com/office/word/2010/wordprocessingGroup">
                    <wpg:wgp>
                      <wpg:cNvGrpSpPr/>
                      <wpg:grpSpPr>
                        <a:xfrm>
                          <a:off x="2423150" y="3772700"/>
                          <a:ext cx="5845655" cy="5061"/>
                          <a:chOff x="2423150" y="3772700"/>
                          <a:chExt cx="5845700" cy="9825"/>
                        </a:xfrm>
                      </wpg:grpSpPr>
                      <wpg:grpSp>
                        <wpg:cNvGrpSpPr/>
                        <wpg:grpSpPr>
                          <a:xfrm>
                            <a:off x="2423173" y="3777470"/>
                            <a:ext cx="5845655" cy="5050"/>
                            <a:chOff x="0" y="0"/>
                            <a:chExt cx="5845655" cy="5050"/>
                          </a:xfrm>
                        </wpg:grpSpPr>
                        <wps:wsp>
                          <wps:cNvSpPr/>
                          <wps:cNvPr id="3" name="Shape 3"/>
                          <wps:spPr>
                            <a:xfrm>
                              <a:off x="0" y="0"/>
                              <a:ext cx="58456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845655" cy="0"/>
                            </a:xfrm>
                            <a:custGeom>
                              <a:rect b="b" l="l" r="r" t="t"/>
                              <a:pathLst>
                                <a:path extrusionOk="0" h="120000" w="5845655">
                                  <a:moveTo>
                                    <a:pt x="0" y="0"/>
                                  </a:moveTo>
                                  <a:lnTo>
                                    <a:pt x="5845655"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45655" cy="5061"/>
                <wp:effectExtent b="0" l="0" r="0" t="0"/>
                <wp:docPr id="15390"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845655" cy="50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line="249" w:lineRule="auto"/>
        <w:ind w:left="240" w:firstLine="0"/>
        <w:rPr>
          <w:i w:val="1"/>
          <w:sz w:val="22"/>
          <w:szCs w:val="22"/>
        </w:rPr>
      </w:pPr>
      <w:r w:rsidDel="00000000" w:rsidR="00000000" w:rsidRPr="00000000">
        <w:rPr>
          <w:i w:val="1"/>
          <w:sz w:val="22"/>
          <w:szCs w:val="22"/>
          <w:rtl w:val="0"/>
        </w:rPr>
        <w:t xml:space="preserve">Question: How would you describe the areas of the country in which elections are significantly less free and fair? [v2elsnlfc]</w:t>
      </w:r>
    </w:p>
    <w:p w:rsidR="00000000" w:rsidDel="00000000" w:rsidP="00000000" w:rsidRDefault="00000000" w:rsidRPr="00000000" w14:paraId="00000016">
      <w:pPr>
        <w:spacing w:after="11" w:line="259" w:lineRule="auto"/>
        <w:ind w:left="110" w:firstLine="0"/>
        <w:jc w:val="left"/>
        <w:rPr>
          <w:i w:val="1"/>
          <w:sz w:val="22"/>
          <w:szCs w:val="22"/>
        </w:rPr>
      </w:pPr>
      <w:r w:rsidDel="00000000" w:rsidR="00000000" w:rsidRPr="00000000">
        <w:rPr>
          <w:rFonts w:ascii="Calibri" w:cs="Calibri" w:eastAsia="Calibri" w:hAnsi="Calibri"/>
          <w:i w:val="1"/>
          <w:sz w:val="24"/>
          <w:szCs w:val="24"/>
        </w:rPr>
        <mc:AlternateContent>
          <mc:Choice Requires="wpg">
            <w:drawing>
              <wp:inline distB="0" distT="0" distL="0" distR="0">
                <wp:extent cx="5845655" cy="5061"/>
                <wp:effectExtent b="0" l="0" r="0" t="0"/>
                <wp:docPr id="15389" name=""/>
                <a:graphic>
                  <a:graphicData uri="http://schemas.microsoft.com/office/word/2010/wordprocessingGroup">
                    <wpg:wgp>
                      <wpg:cNvGrpSpPr/>
                      <wpg:grpSpPr>
                        <a:xfrm>
                          <a:off x="2423150" y="3772700"/>
                          <a:ext cx="5845655" cy="5061"/>
                          <a:chOff x="2423150" y="3772700"/>
                          <a:chExt cx="5845700" cy="9825"/>
                        </a:xfrm>
                      </wpg:grpSpPr>
                      <wpg:grpSp>
                        <wpg:cNvGrpSpPr/>
                        <wpg:grpSpPr>
                          <a:xfrm>
                            <a:off x="2423173" y="3777470"/>
                            <a:ext cx="5845655" cy="5050"/>
                            <a:chOff x="0" y="0"/>
                            <a:chExt cx="5845655" cy="5050"/>
                          </a:xfrm>
                        </wpg:grpSpPr>
                        <wps:wsp>
                          <wps:cNvSpPr/>
                          <wps:cNvPr id="3" name="Shape 3"/>
                          <wps:spPr>
                            <a:xfrm>
                              <a:off x="0" y="0"/>
                              <a:ext cx="58456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845655" cy="0"/>
                            </a:xfrm>
                            <a:custGeom>
                              <a:rect b="b" l="l" r="r" t="t"/>
                              <a:pathLst>
                                <a:path extrusionOk="0" h="120000" w="5845655">
                                  <a:moveTo>
                                    <a:pt x="0" y="0"/>
                                  </a:moveTo>
                                  <a:lnTo>
                                    <a:pt x="5845655"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45655" cy="5061"/>
                <wp:effectExtent b="0" l="0" r="0" t="0"/>
                <wp:docPr id="15389"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845655" cy="50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pacing w:line="249" w:lineRule="auto"/>
        <w:ind w:left="240" w:firstLine="0"/>
        <w:rPr>
          <w:i w:val="1"/>
          <w:sz w:val="22"/>
          <w:szCs w:val="22"/>
        </w:rPr>
      </w:pPr>
      <w:r w:rsidDel="00000000" w:rsidR="00000000" w:rsidRPr="00000000">
        <w:rPr>
          <w:i w:val="1"/>
          <w:sz w:val="22"/>
          <w:szCs w:val="22"/>
          <w:rtl w:val="0"/>
        </w:rPr>
        <w:t xml:space="preserve">Question: How would you describe the areas of the country in which elections are significantly more free and fair? [v2elsnmrfc]</w:t>
      </w:r>
    </w:p>
    <w:p w:rsidR="00000000" w:rsidDel="00000000" w:rsidP="00000000" w:rsidRDefault="00000000" w:rsidRPr="00000000" w14:paraId="00000018">
      <w:pPr>
        <w:spacing w:after="11" w:line="259" w:lineRule="auto"/>
        <w:ind w:left="110" w:firstLine="0"/>
        <w:jc w:val="left"/>
        <w:rPr>
          <w:i w:val="1"/>
          <w:sz w:val="22"/>
          <w:szCs w:val="22"/>
        </w:rPr>
      </w:pPr>
      <w:r w:rsidDel="00000000" w:rsidR="00000000" w:rsidRPr="00000000">
        <w:rPr>
          <w:rFonts w:ascii="Calibri" w:cs="Calibri" w:eastAsia="Calibri" w:hAnsi="Calibri"/>
          <w:i w:val="1"/>
          <w:sz w:val="24"/>
          <w:szCs w:val="24"/>
        </w:rPr>
        <mc:AlternateContent>
          <mc:Choice Requires="wpg">
            <w:drawing>
              <wp:inline distB="0" distT="0" distL="0" distR="0">
                <wp:extent cx="5845655" cy="5061"/>
                <wp:effectExtent b="0" l="0" r="0" t="0"/>
                <wp:docPr id="15392" name=""/>
                <a:graphic>
                  <a:graphicData uri="http://schemas.microsoft.com/office/word/2010/wordprocessingGroup">
                    <wpg:wgp>
                      <wpg:cNvGrpSpPr/>
                      <wpg:grpSpPr>
                        <a:xfrm>
                          <a:off x="2423150" y="3772700"/>
                          <a:ext cx="5845655" cy="5061"/>
                          <a:chOff x="2423150" y="3772700"/>
                          <a:chExt cx="5845700" cy="9825"/>
                        </a:xfrm>
                      </wpg:grpSpPr>
                      <wpg:grpSp>
                        <wpg:cNvGrpSpPr/>
                        <wpg:grpSpPr>
                          <a:xfrm>
                            <a:off x="2423173" y="3777470"/>
                            <a:ext cx="5845655" cy="5050"/>
                            <a:chOff x="0" y="0"/>
                            <a:chExt cx="5845655" cy="5050"/>
                          </a:xfrm>
                        </wpg:grpSpPr>
                        <wps:wsp>
                          <wps:cNvSpPr/>
                          <wps:cNvPr id="3" name="Shape 3"/>
                          <wps:spPr>
                            <a:xfrm>
                              <a:off x="0" y="0"/>
                              <a:ext cx="58456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845655" cy="0"/>
                            </a:xfrm>
                            <a:custGeom>
                              <a:rect b="b" l="l" r="r" t="t"/>
                              <a:pathLst>
                                <a:path extrusionOk="0" h="120000" w="5845655">
                                  <a:moveTo>
                                    <a:pt x="0" y="0"/>
                                  </a:moveTo>
                                  <a:lnTo>
                                    <a:pt x="5845655"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45655" cy="5061"/>
                <wp:effectExtent b="0" l="0" r="0" t="0"/>
                <wp:docPr id="15392"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5845655" cy="50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spacing w:line="249" w:lineRule="auto"/>
        <w:ind w:left="240" w:firstLine="0"/>
        <w:rPr>
          <w:i w:val="1"/>
          <w:sz w:val="22"/>
          <w:szCs w:val="22"/>
        </w:rPr>
      </w:pPr>
      <w:r w:rsidDel="00000000" w:rsidR="00000000" w:rsidRPr="00000000">
        <w:rPr>
          <w:i w:val="1"/>
          <w:sz w:val="22"/>
          <w:szCs w:val="22"/>
          <w:rtl w:val="0"/>
        </w:rPr>
        <w:t xml:space="preserve">Question: How would you describe the areas of the country where government officials’ respect for civil liberties is significantly stronger? [v2clrgstch]</w:t>
      </w:r>
    </w:p>
    <w:p w:rsidR="00000000" w:rsidDel="00000000" w:rsidP="00000000" w:rsidRDefault="00000000" w:rsidRPr="00000000" w14:paraId="0000001A">
      <w:pPr>
        <w:spacing w:after="11" w:line="259" w:lineRule="auto"/>
        <w:ind w:left="110" w:firstLine="0"/>
        <w:jc w:val="left"/>
        <w:rPr>
          <w:i w:val="1"/>
          <w:sz w:val="22"/>
          <w:szCs w:val="22"/>
        </w:rPr>
      </w:pPr>
      <w:r w:rsidDel="00000000" w:rsidR="00000000" w:rsidRPr="00000000">
        <w:rPr>
          <w:rFonts w:ascii="Calibri" w:cs="Calibri" w:eastAsia="Calibri" w:hAnsi="Calibri"/>
          <w:i w:val="1"/>
          <w:sz w:val="24"/>
          <w:szCs w:val="24"/>
        </w:rPr>
        <mc:AlternateContent>
          <mc:Choice Requires="wpg">
            <w:drawing>
              <wp:inline distB="0" distT="0" distL="0" distR="0">
                <wp:extent cx="5845655" cy="5061"/>
                <wp:effectExtent b="0" l="0" r="0" t="0"/>
                <wp:docPr id="15391" name=""/>
                <a:graphic>
                  <a:graphicData uri="http://schemas.microsoft.com/office/word/2010/wordprocessingGroup">
                    <wpg:wgp>
                      <wpg:cNvGrpSpPr/>
                      <wpg:grpSpPr>
                        <a:xfrm>
                          <a:off x="2423150" y="3772700"/>
                          <a:ext cx="5845655" cy="5061"/>
                          <a:chOff x="2423150" y="3772700"/>
                          <a:chExt cx="5845700" cy="9825"/>
                        </a:xfrm>
                      </wpg:grpSpPr>
                      <wpg:grpSp>
                        <wpg:cNvGrpSpPr/>
                        <wpg:grpSpPr>
                          <a:xfrm>
                            <a:off x="2423173" y="3777470"/>
                            <a:ext cx="5845655" cy="5050"/>
                            <a:chOff x="0" y="0"/>
                            <a:chExt cx="5845655" cy="5050"/>
                          </a:xfrm>
                        </wpg:grpSpPr>
                        <wps:wsp>
                          <wps:cNvSpPr/>
                          <wps:cNvPr id="3" name="Shape 3"/>
                          <wps:spPr>
                            <a:xfrm>
                              <a:off x="0" y="0"/>
                              <a:ext cx="58456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845655" cy="0"/>
                            </a:xfrm>
                            <a:custGeom>
                              <a:rect b="b" l="l" r="r" t="t"/>
                              <a:pathLst>
                                <a:path extrusionOk="0" h="120000" w="5845655">
                                  <a:moveTo>
                                    <a:pt x="0" y="0"/>
                                  </a:moveTo>
                                  <a:lnTo>
                                    <a:pt x="5845655"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45655" cy="5061"/>
                <wp:effectExtent b="0" l="0" r="0" t="0"/>
                <wp:docPr id="1539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5845655" cy="50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spacing w:line="253" w:lineRule="auto"/>
        <w:ind w:left="240" w:right="164" w:firstLine="0"/>
        <w:jc w:val="left"/>
        <w:rPr>
          <w:sz w:val="22"/>
          <w:szCs w:val="22"/>
        </w:rPr>
      </w:pPr>
      <w:r w:rsidDel="00000000" w:rsidR="00000000" w:rsidRPr="00000000">
        <w:rPr>
          <w:i w:val="1"/>
          <w:sz w:val="22"/>
          <w:szCs w:val="22"/>
          <w:rtl w:val="0"/>
        </w:rPr>
        <w:t xml:space="preserve">Question: How would you describe the areas of the country where government officials’ respect for civil liberties is significantly weaker? [v2clrgwkch] </w:t>
      </w:r>
      <w:r w:rsidDel="00000000" w:rsidR="00000000" w:rsidRPr="00000000">
        <w:rPr>
          <w:rFonts w:ascii="Calibri" w:cs="Calibri" w:eastAsia="Calibri" w:hAnsi="Calibri"/>
          <w:sz w:val="24"/>
          <w:szCs w:val="24"/>
        </w:rPr>
        <mc:AlternateContent>
          <mc:Choice Requires="wpg">
            <w:drawing>
              <wp:inline distB="0" distT="0" distL="0" distR="0">
                <wp:extent cx="5845655" cy="5061"/>
                <wp:effectExtent b="0" l="0" r="0" t="0"/>
                <wp:docPr id="15393" name=""/>
                <a:graphic>
                  <a:graphicData uri="http://schemas.microsoft.com/office/word/2010/wordprocessingGroup">
                    <wpg:wgp>
                      <wpg:cNvGrpSpPr/>
                      <wpg:grpSpPr>
                        <a:xfrm>
                          <a:off x="2423150" y="3772700"/>
                          <a:ext cx="5845655" cy="5061"/>
                          <a:chOff x="2423150" y="3772700"/>
                          <a:chExt cx="5845700" cy="9825"/>
                        </a:xfrm>
                      </wpg:grpSpPr>
                      <wpg:grpSp>
                        <wpg:cNvGrpSpPr/>
                        <wpg:grpSpPr>
                          <a:xfrm>
                            <a:off x="2423173" y="3777470"/>
                            <a:ext cx="5845655" cy="5050"/>
                            <a:chOff x="0" y="0"/>
                            <a:chExt cx="5845655" cy="5050"/>
                          </a:xfrm>
                        </wpg:grpSpPr>
                        <wps:wsp>
                          <wps:cNvSpPr/>
                          <wps:cNvPr id="3" name="Shape 3"/>
                          <wps:spPr>
                            <a:xfrm>
                              <a:off x="0" y="0"/>
                              <a:ext cx="5845650" cy="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845655" cy="0"/>
                            </a:xfrm>
                            <a:custGeom>
                              <a:rect b="b" l="l" r="r" t="t"/>
                              <a:pathLst>
                                <a:path extrusionOk="0" h="120000" w="5845655">
                                  <a:moveTo>
                                    <a:pt x="0" y="0"/>
                                  </a:moveTo>
                                  <a:lnTo>
                                    <a:pt x="5845655" y="0"/>
                                  </a:lnTo>
                                </a:path>
                              </a:pathLst>
                            </a:custGeom>
                            <a:noFill/>
                            <a:ln cap="flat"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45655" cy="5061"/>
                <wp:effectExtent b="0" l="0" r="0" t="0"/>
                <wp:docPr id="15393"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5845655" cy="50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line="253" w:lineRule="auto"/>
        <w:ind w:left="240" w:right="164" w:firstLine="0"/>
        <w:jc w:val="left"/>
        <w:rPr>
          <w:sz w:val="22"/>
          <w:szCs w:val="22"/>
        </w:rPr>
      </w:pPr>
      <w:r w:rsidDel="00000000" w:rsidR="00000000" w:rsidRPr="00000000">
        <w:rPr>
          <w:sz w:val="22"/>
          <w:szCs w:val="22"/>
          <w:rtl w:val="0"/>
        </w:rPr>
        <w:t xml:space="preserve">Clarification: Choose all that apply.</w:t>
      </w:r>
    </w:p>
    <w:p w:rsidR="00000000" w:rsidDel="00000000" w:rsidP="00000000" w:rsidRDefault="00000000" w:rsidRPr="00000000" w14:paraId="0000001D">
      <w:pPr>
        <w:spacing w:line="259" w:lineRule="auto"/>
        <w:ind w:left="240" w:firstLine="0"/>
        <w:rPr>
          <w:sz w:val="22"/>
          <w:szCs w:val="22"/>
        </w:rPr>
      </w:pPr>
      <w:r w:rsidDel="00000000" w:rsidR="00000000" w:rsidRPr="00000000">
        <w:rPr>
          <w:sz w:val="22"/>
          <w:szCs w:val="22"/>
          <w:rtl w:val="0"/>
        </w:rPr>
        <w:t xml:space="preserve">Responses:</w:t>
      </w:r>
    </w:p>
    <w:p w:rsidR="00000000" w:rsidDel="00000000" w:rsidP="00000000" w:rsidRDefault="00000000" w:rsidRPr="00000000" w14:paraId="0000001E">
      <w:pPr>
        <w:spacing w:line="259" w:lineRule="auto"/>
        <w:ind w:left="240" w:firstLine="0"/>
        <w:rPr>
          <w:sz w:val="22"/>
          <w:szCs w:val="22"/>
        </w:rPr>
      </w:pPr>
      <w:r w:rsidDel="00000000" w:rsidR="00000000" w:rsidRPr="00000000">
        <w:rPr>
          <w:sz w:val="22"/>
          <w:szCs w:val="22"/>
          <w:rtl w:val="0"/>
        </w:rPr>
        <w:t xml:space="preserve">0: Rural. (0=No, 1=Yes)</w:t>
      </w:r>
    </w:p>
    <w:p w:rsidR="00000000" w:rsidDel="00000000" w:rsidP="00000000" w:rsidRDefault="00000000" w:rsidRPr="00000000" w14:paraId="0000001F">
      <w:pPr>
        <w:spacing w:line="259" w:lineRule="auto"/>
        <w:ind w:left="240" w:firstLine="0"/>
        <w:rPr>
          <w:sz w:val="22"/>
          <w:szCs w:val="22"/>
        </w:rPr>
      </w:pPr>
      <w:r w:rsidDel="00000000" w:rsidR="00000000" w:rsidRPr="00000000">
        <w:rPr>
          <w:sz w:val="22"/>
          <w:szCs w:val="22"/>
          <w:rtl w:val="0"/>
        </w:rPr>
        <w:t xml:space="preserve">1: Urban. (0=No, 1=Yes)</w:t>
      </w:r>
    </w:p>
    <w:p w:rsidR="00000000" w:rsidDel="00000000" w:rsidP="00000000" w:rsidRDefault="00000000" w:rsidRPr="00000000" w14:paraId="00000020">
      <w:pPr>
        <w:spacing w:line="259" w:lineRule="auto"/>
        <w:ind w:left="240" w:firstLine="0"/>
        <w:rPr>
          <w:sz w:val="22"/>
          <w:szCs w:val="22"/>
        </w:rPr>
      </w:pPr>
      <w:r w:rsidDel="00000000" w:rsidR="00000000" w:rsidRPr="00000000">
        <w:rPr>
          <w:sz w:val="22"/>
          <w:szCs w:val="22"/>
          <w:rtl w:val="0"/>
        </w:rPr>
        <w:t xml:space="preserve">2: Areas that are less economically developed. (0=No, 1=Yes)</w:t>
      </w:r>
    </w:p>
    <w:p w:rsidR="00000000" w:rsidDel="00000000" w:rsidP="00000000" w:rsidRDefault="00000000" w:rsidRPr="00000000" w14:paraId="00000021">
      <w:pPr>
        <w:spacing w:line="259" w:lineRule="auto"/>
        <w:ind w:left="240" w:firstLine="0"/>
        <w:rPr>
          <w:sz w:val="22"/>
          <w:szCs w:val="22"/>
        </w:rPr>
      </w:pPr>
      <w:r w:rsidDel="00000000" w:rsidR="00000000" w:rsidRPr="00000000">
        <w:rPr>
          <w:sz w:val="22"/>
          <w:szCs w:val="22"/>
          <w:rtl w:val="0"/>
        </w:rPr>
        <w:t xml:space="preserve">3: Areas that are more economically developed. (0=No, 1=Yes)</w:t>
      </w:r>
    </w:p>
    <w:p w:rsidR="00000000" w:rsidDel="00000000" w:rsidP="00000000" w:rsidRDefault="00000000" w:rsidRPr="00000000" w14:paraId="00000022">
      <w:pPr>
        <w:spacing w:line="259" w:lineRule="auto"/>
        <w:ind w:left="240" w:firstLine="0"/>
        <w:rPr>
          <w:sz w:val="22"/>
          <w:szCs w:val="22"/>
        </w:rPr>
      </w:pPr>
      <w:r w:rsidDel="00000000" w:rsidR="00000000" w:rsidRPr="00000000">
        <w:rPr>
          <w:sz w:val="22"/>
          <w:szCs w:val="22"/>
          <w:rtl w:val="0"/>
        </w:rPr>
        <w:t xml:space="preserve">4: Inside the capital city. (0=No, 1=Yes)</w:t>
      </w:r>
    </w:p>
    <w:p w:rsidR="00000000" w:rsidDel="00000000" w:rsidP="00000000" w:rsidRDefault="00000000" w:rsidRPr="00000000" w14:paraId="00000023">
      <w:pPr>
        <w:spacing w:line="259" w:lineRule="auto"/>
        <w:ind w:left="240" w:firstLine="0"/>
        <w:rPr>
          <w:sz w:val="22"/>
          <w:szCs w:val="22"/>
        </w:rPr>
      </w:pPr>
      <w:r w:rsidDel="00000000" w:rsidR="00000000" w:rsidRPr="00000000">
        <w:rPr>
          <w:sz w:val="22"/>
          <w:szCs w:val="22"/>
          <w:rtl w:val="0"/>
        </w:rPr>
        <w:t xml:space="preserve">5: Outside the capital city. (0=No, 1=Yes)</w:t>
      </w:r>
    </w:p>
    <w:p w:rsidR="00000000" w:rsidDel="00000000" w:rsidP="00000000" w:rsidRDefault="00000000" w:rsidRPr="00000000" w14:paraId="00000024">
      <w:pPr>
        <w:spacing w:line="269" w:lineRule="auto"/>
        <w:ind w:left="240" w:right="6737" w:firstLine="0"/>
        <w:rPr>
          <w:sz w:val="22"/>
          <w:szCs w:val="22"/>
        </w:rPr>
      </w:pPr>
      <w:r w:rsidDel="00000000" w:rsidR="00000000" w:rsidRPr="00000000">
        <w:rPr>
          <w:sz w:val="22"/>
          <w:szCs w:val="22"/>
          <w:rtl w:val="0"/>
        </w:rPr>
        <w:t xml:space="preserve">6: North. (0=No, 1=Yes) 7: South. (0=No, 1=Yes)</w:t>
      </w:r>
    </w:p>
    <w:p w:rsidR="00000000" w:rsidDel="00000000" w:rsidP="00000000" w:rsidRDefault="00000000" w:rsidRPr="00000000" w14:paraId="00000025">
      <w:pPr>
        <w:spacing w:line="259" w:lineRule="auto"/>
        <w:ind w:left="240" w:firstLine="0"/>
        <w:rPr>
          <w:sz w:val="22"/>
          <w:szCs w:val="22"/>
        </w:rPr>
      </w:pPr>
      <w:r w:rsidDel="00000000" w:rsidR="00000000" w:rsidRPr="00000000">
        <w:rPr>
          <w:sz w:val="22"/>
          <w:szCs w:val="22"/>
          <w:rtl w:val="0"/>
        </w:rPr>
        <w:t xml:space="preserve">8: West. (0=No, 1=Yes)</w:t>
      </w:r>
    </w:p>
    <w:p w:rsidR="00000000" w:rsidDel="00000000" w:rsidP="00000000" w:rsidRDefault="00000000" w:rsidRPr="00000000" w14:paraId="00000026">
      <w:pPr>
        <w:spacing w:line="259" w:lineRule="auto"/>
        <w:ind w:left="240" w:firstLine="0"/>
        <w:rPr>
          <w:sz w:val="22"/>
          <w:szCs w:val="22"/>
        </w:rPr>
      </w:pPr>
      <w:r w:rsidDel="00000000" w:rsidR="00000000" w:rsidRPr="00000000">
        <w:rPr>
          <w:sz w:val="22"/>
          <w:szCs w:val="22"/>
          <w:rtl w:val="0"/>
        </w:rPr>
        <w:t xml:space="preserve">9: East. (0=No, 1=Yes)</w:t>
      </w:r>
    </w:p>
    <w:p w:rsidR="00000000" w:rsidDel="00000000" w:rsidP="00000000" w:rsidRDefault="00000000" w:rsidRPr="00000000" w14:paraId="00000027">
      <w:pPr>
        <w:spacing w:line="259" w:lineRule="auto"/>
        <w:ind w:left="240" w:firstLine="0"/>
        <w:rPr>
          <w:sz w:val="22"/>
          <w:szCs w:val="22"/>
        </w:rPr>
      </w:pPr>
      <w:r w:rsidDel="00000000" w:rsidR="00000000" w:rsidRPr="00000000">
        <w:rPr>
          <w:sz w:val="22"/>
          <w:szCs w:val="22"/>
          <w:rtl w:val="0"/>
        </w:rPr>
        <w:t xml:space="preserve">10: Areas of civil unrest (including areas where insurgent groups are active). (0=No, 1=Yes)</w:t>
      </w:r>
    </w:p>
    <w:p w:rsidR="00000000" w:rsidDel="00000000" w:rsidP="00000000" w:rsidRDefault="00000000" w:rsidRPr="00000000" w14:paraId="00000028">
      <w:pPr>
        <w:spacing w:line="259" w:lineRule="auto"/>
        <w:ind w:left="240" w:firstLine="0"/>
        <w:rPr>
          <w:sz w:val="22"/>
          <w:szCs w:val="22"/>
        </w:rPr>
      </w:pPr>
      <w:r w:rsidDel="00000000" w:rsidR="00000000" w:rsidRPr="00000000">
        <w:rPr>
          <w:sz w:val="22"/>
          <w:szCs w:val="22"/>
          <w:rtl w:val="0"/>
        </w:rPr>
        <w:t xml:space="preserve">11: Areas where illicit activity is widespread. (0=No, 1=Yes)</w:t>
      </w:r>
    </w:p>
    <w:p w:rsidR="00000000" w:rsidDel="00000000" w:rsidP="00000000" w:rsidRDefault="00000000" w:rsidRPr="00000000" w14:paraId="00000029">
      <w:pPr>
        <w:spacing w:line="259" w:lineRule="auto"/>
        <w:ind w:left="240" w:firstLine="0"/>
        <w:rPr>
          <w:sz w:val="22"/>
          <w:szCs w:val="22"/>
        </w:rPr>
      </w:pPr>
      <w:r w:rsidDel="00000000" w:rsidR="00000000" w:rsidRPr="00000000">
        <w:rPr>
          <w:sz w:val="22"/>
          <w:szCs w:val="22"/>
          <w:rtl w:val="0"/>
        </w:rPr>
        <w:t xml:space="preserve">12: Areas that are very sparsely populated. (0=No, 1=Yes)</w:t>
      </w:r>
    </w:p>
    <w:p w:rsidR="00000000" w:rsidDel="00000000" w:rsidP="00000000" w:rsidRDefault="00000000" w:rsidRPr="00000000" w14:paraId="0000002A">
      <w:pPr>
        <w:spacing w:line="259" w:lineRule="auto"/>
        <w:ind w:left="240" w:firstLine="0"/>
        <w:rPr>
          <w:sz w:val="22"/>
          <w:szCs w:val="22"/>
        </w:rPr>
      </w:pPr>
      <w:r w:rsidDel="00000000" w:rsidR="00000000" w:rsidRPr="00000000">
        <w:rPr>
          <w:sz w:val="22"/>
          <w:szCs w:val="22"/>
          <w:rtl w:val="0"/>
        </w:rPr>
        <w:t xml:space="preserve">13: Areas that are remote (difficult to reach by available transportation, for example). (0=No, 1=Yes)</w:t>
      </w:r>
    </w:p>
    <w:p w:rsidR="00000000" w:rsidDel="00000000" w:rsidP="00000000" w:rsidRDefault="00000000" w:rsidRPr="00000000" w14:paraId="0000002B">
      <w:pPr>
        <w:spacing w:line="259" w:lineRule="auto"/>
        <w:ind w:left="240" w:firstLine="0"/>
        <w:rPr>
          <w:sz w:val="22"/>
          <w:szCs w:val="22"/>
        </w:rPr>
      </w:pPr>
      <w:r w:rsidDel="00000000" w:rsidR="00000000" w:rsidRPr="00000000">
        <w:rPr>
          <w:sz w:val="22"/>
          <w:szCs w:val="22"/>
          <w:rtl w:val="0"/>
        </w:rPr>
        <w:t xml:space="preserve">14: Areas where there are indigenous populations. (0=No, 1=Yes)</w:t>
      </w:r>
    </w:p>
    <w:p w:rsidR="00000000" w:rsidDel="00000000" w:rsidP="00000000" w:rsidRDefault="00000000" w:rsidRPr="00000000" w14:paraId="0000002C">
      <w:pPr>
        <w:spacing w:line="259" w:lineRule="auto"/>
        <w:ind w:left="240" w:firstLine="0"/>
        <w:rPr>
          <w:sz w:val="22"/>
          <w:szCs w:val="22"/>
        </w:rPr>
      </w:pPr>
      <w:r w:rsidDel="00000000" w:rsidR="00000000" w:rsidRPr="00000000">
        <w:rPr>
          <w:sz w:val="22"/>
          <w:szCs w:val="22"/>
          <w:rtl w:val="0"/>
        </w:rPr>
        <w:t xml:space="preserve">15: Areas where the national ruling party or group is strong. (0=No, 1=Yes)</w:t>
      </w:r>
    </w:p>
    <w:p w:rsidR="00000000" w:rsidDel="00000000" w:rsidP="00000000" w:rsidRDefault="00000000" w:rsidRPr="00000000" w14:paraId="0000002D">
      <w:pPr>
        <w:spacing w:line="259" w:lineRule="auto"/>
        <w:ind w:left="240" w:firstLine="0"/>
        <w:rPr>
          <w:sz w:val="22"/>
          <w:szCs w:val="22"/>
        </w:rPr>
      </w:pPr>
      <w:r w:rsidDel="00000000" w:rsidR="00000000" w:rsidRPr="00000000">
        <w:rPr>
          <w:sz w:val="22"/>
          <w:szCs w:val="22"/>
          <w:rtl w:val="0"/>
        </w:rPr>
        <w:t xml:space="preserve">16: Areas where the national ruling party or group is weak. (0=No, 1=Yes)</w:t>
      </w:r>
    </w:p>
    <w:p w:rsidR="00000000" w:rsidDel="00000000" w:rsidP="00000000" w:rsidRDefault="00000000" w:rsidRPr="00000000" w14:paraId="0000002E">
      <w:pPr>
        <w:spacing w:line="259" w:lineRule="auto"/>
        <w:ind w:left="240" w:firstLine="0"/>
        <w:rPr>
          <w:sz w:val="22"/>
          <w:szCs w:val="22"/>
        </w:rPr>
      </w:pPr>
      <w:r w:rsidDel="00000000" w:rsidR="00000000" w:rsidRPr="00000000">
        <w:rPr>
          <w:sz w:val="22"/>
          <w:szCs w:val="22"/>
          <w:rtl w:val="0"/>
        </w:rPr>
        <w:t xml:space="preserve">17: Areas that were subject to a longer period of foreign rule. (0=No, 1=Yes)</w:t>
      </w:r>
    </w:p>
    <w:p w:rsidR="00000000" w:rsidDel="00000000" w:rsidP="00000000" w:rsidRDefault="00000000" w:rsidRPr="00000000" w14:paraId="0000002F">
      <w:pPr>
        <w:spacing w:line="259" w:lineRule="auto"/>
        <w:ind w:left="240" w:firstLine="0"/>
        <w:rPr>
          <w:sz w:val="22"/>
          <w:szCs w:val="22"/>
        </w:rPr>
      </w:pPr>
      <w:r w:rsidDel="00000000" w:rsidR="00000000" w:rsidRPr="00000000">
        <w:rPr>
          <w:sz w:val="22"/>
          <w:szCs w:val="22"/>
          <w:rtl w:val="0"/>
        </w:rPr>
        <w:t xml:space="preserve">18: Areas that were subject to a shorter period of foreign rule. (0=No, 1=Yes)</w:t>
      </w:r>
    </w:p>
    <w:p w:rsidR="00000000" w:rsidDel="00000000" w:rsidP="00000000" w:rsidRDefault="00000000" w:rsidRPr="00000000" w14:paraId="00000030">
      <w:pPr>
        <w:spacing w:line="259" w:lineRule="auto"/>
        <w:ind w:left="240" w:firstLine="0"/>
        <w:rPr>
          <w:sz w:val="22"/>
          <w:szCs w:val="22"/>
        </w:rPr>
      </w:pPr>
      <w:r w:rsidDel="00000000" w:rsidR="00000000" w:rsidRPr="00000000">
        <w:rPr>
          <w:sz w:val="22"/>
          <w:szCs w:val="22"/>
          <w:rtl w:val="0"/>
        </w:rPr>
        <w:t xml:space="preserve">19: Areas that were recently subject to foreign rule. (0=No, 1=Yes)</w:t>
      </w:r>
    </w:p>
    <w:p w:rsidR="00000000" w:rsidDel="00000000" w:rsidP="00000000" w:rsidRDefault="00000000" w:rsidRPr="00000000" w14:paraId="00000031">
      <w:pPr>
        <w:spacing w:line="259" w:lineRule="auto"/>
        <w:ind w:left="240" w:firstLine="0"/>
        <w:rPr>
          <w:sz w:val="22"/>
          <w:szCs w:val="22"/>
        </w:rPr>
      </w:pPr>
      <w:r w:rsidDel="00000000" w:rsidR="00000000" w:rsidRPr="00000000">
        <w:rPr>
          <w:sz w:val="22"/>
          <w:szCs w:val="22"/>
          <w:rtl w:val="0"/>
        </w:rPr>
        <w:t xml:space="preserve">20: Areas that have not recently been subject to foreign rule. (0=No, 1=Yes)</w:t>
      </w:r>
    </w:p>
    <w:p w:rsidR="00000000" w:rsidDel="00000000" w:rsidP="00000000" w:rsidRDefault="00000000" w:rsidRPr="00000000" w14:paraId="00000032">
      <w:pPr>
        <w:spacing w:after="289" w:lineRule="auto"/>
        <w:ind w:left="240" w:firstLine="0"/>
        <w:rPr>
          <w:sz w:val="22"/>
          <w:szCs w:val="22"/>
        </w:rPr>
      </w:pPr>
      <w:r w:rsidDel="00000000" w:rsidR="00000000" w:rsidRPr="00000000">
        <w:rPr>
          <w:sz w:val="22"/>
          <w:szCs w:val="22"/>
          <w:rtl w:val="0"/>
        </w:rPr>
        <w:t xml:space="preserve">21: None of the above. (0=No, 1=Yes)</w:t>
      </w:r>
    </w:p>
    <w:p w:rsidR="00000000" w:rsidDel="00000000" w:rsidP="00000000" w:rsidRDefault="00000000" w:rsidRPr="00000000" w14:paraId="00000033">
      <w:pPr>
        <w:spacing w:after="245" w:lineRule="auto"/>
        <w:ind w:left="-5" w:firstLine="0"/>
        <w:rPr>
          <w:sz w:val="22"/>
          <w:szCs w:val="22"/>
        </w:rPr>
      </w:pPr>
      <w:r w:rsidDel="00000000" w:rsidR="00000000" w:rsidRPr="00000000">
        <w:rPr>
          <w:sz w:val="22"/>
          <w:szCs w:val="22"/>
          <w:rtl w:val="0"/>
        </w:rPr>
        <w:t xml:space="preserve">Table 1 reproduces the four questions, along with the same 21 “choose all that apply” criteria that apply to all questions. In the country-year V-Dem data sets, each criteria becomes a separate variable that is no longer binary, but rather the proportion of experts who chose the “yes” response to that option. Thus, in actuality we have 84 (21*4) variables to work with.</w:t>
      </w:r>
    </w:p>
    <w:p w:rsidR="00000000" w:rsidDel="00000000" w:rsidP="00000000" w:rsidRDefault="00000000" w:rsidRPr="00000000" w14:paraId="00000034">
      <w:pPr>
        <w:spacing w:after="96" w:lineRule="auto"/>
        <w:ind w:left="-5" w:firstLine="0"/>
        <w:rPr>
          <w:sz w:val="22"/>
          <w:szCs w:val="22"/>
        </w:rPr>
      </w:pPr>
      <w:r w:rsidDel="00000000" w:rsidR="00000000" w:rsidRPr="00000000">
        <w:rPr>
          <w:sz w:val="22"/>
          <w:szCs w:val="22"/>
          <w:rtl w:val="0"/>
        </w:rPr>
        <w:t xml:space="preserve">These unusual options have advantages and disadvantages. On the positive side, these options ask experts to identify the criteria that distinguish locations where democracy is better from locations where it is worse. The options are described in a generic way so that they could be relevant in any country that V-Dem rates, anywhere in the world, and over more than two centuries of history. In this paper we deal with 16 of them, leaving aside the options referring to foreign rule (# 17-20) which is not very relevant for Colombia, and option #21 which refers to a negative response (“None of the above”). Still, even these few response options are varied enough to cast a wide net that captures diverse criteria for distinguishing where democracy is better or worse.</w:t>
      </w:r>
    </w:p>
    <w:p w:rsidR="00000000" w:rsidDel="00000000" w:rsidP="00000000" w:rsidRDefault="00000000" w:rsidRPr="00000000" w14:paraId="00000035">
      <w:pPr>
        <w:spacing w:after="96" w:lineRule="auto"/>
        <w:ind w:left="-5" w:firstLine="0"/>
        <w:rPr>
          <w:sz w:val="22"/>
          <w:szCs w:val="22"/>
        </w:rPr>
      </w:pPr>
      <w:r w:rsidDel="00000000" w:rsidR="00000000" w:rsidRPr="00000000">
        <w:rPr>
          <w:sz w:val="22"/>
          <w:szCs w:val="22"/>
          <w:rtl w:val="0"/>
        </w:rPr>
        <w:t xml:space="preserve">On the negative side, first, all of these options are conceptually binary. In effect, they ask “Is this a useful discriminating criterion or not?” rather than seeking information about degrees of relevance. Second, the options do not name a specific concept or indicator that should be used in empirical analysis. This decision is left up to each country expert and V-Dem does not reveal–and in fact does not </w:t>
      </w:r>
      <w:r w:rsidDel="00000000" w:rsidR="00000000" w:rsidRPr="00000000">
        <w:rPr>
          <w:i w:val="1"/>
          <w:sz w:val="22"/>
          <w:szCs w:val="22"/>
          <w:rtl w:val="0"/>
        </w:rPr>
        <w:t xml:space="preserve">know</w:t>
      </w:r>
      <w:r w:rsidDel="00000000" w:rsidR="00000000" w:rsidRPr="00000000">
        <w:rPr>
          <w:sz w:val="22"/>
          <w:szCs w:val="22"/>
          <w:rtl w:val="0"/>
        </w:rPr>
        <w:t xml:space="preserve">–on what information country experts based their assessments. Third, the options do not specify a threshold that should be used to decide whether a location does or does not satisfy the criterion. Fourth, many of the criteria overlap and are therefore somewhat interchangeable. This is especially likely for the binaries of rural-urban, low-high income, sparsely-densely populated and remote areas, which may also overlap with areas of illicit activity, civil unrest, and indigenous population. Finally, the criteria are not mapped onto well-defined locations such as states, counties, or cities that would have known administrative boundaries.</w:t>
      </w:r>
    </w:p>
    <w:p w:rsidR="00000000" w:rsidDel="00000000" w:rsidP="00000000" w:rsidRDefault="00000000" w:rsidRPr="00000000" w14:paraId="00000036">
      <w:pPr>
        <w:spacing w:after="585" w:lineRule="auto"/>
        <w:ind w:left="-5" w:firstLine="0"/>
        <w:rPr>
          <w:sz w:val="22"/>
          <w:szCs w:val="22"/>
        </w:rPr>
      </w:pPr>
      <w:r w:rsidDel="00000000" w:rsidR="00000000" w:rsidRPr="00000000">
        <w:rPr>
          <w:sz w:val="22"/>
          <w:szCs w:val="22"/>
          <w:rtl w:val="0"/>
        </w:rPr>
        <w:t xml:space="preserve">Given these features, additional work is required to render the V-Dem data useful for measuring democracy at the subnational level. The procedure described below is structured around the following steps: coder-level analysis, selection of indicators (operationalization) and calculation of summary measures, data reduction, and finally mapping.</w:t>
      </w:r>
    </w:p>
    <w:p w:rsidR="00000000" w:rsidDel="00000000" w:rsidP="00000000" w:rsidRDefault="00000000" w:rsidRPr="00000000" w14:paraId="00000037">
      <w:pPr>
        <w:pStyle w:val="Heading1"/>
        <w:numPr>
          <w:ilvl w:val="0"/>
          <w:numId w:val="4"/>
        </w:numPr>
        <w:ind w:left="433" w:hanging="448"/>
        <w:rPr>
          <w:sz w:val="31"/>
          <w:szCs w:val="31"/>
        </w:rPr>
      </w:pPr>
      <w:sdt>
        <w:sdtPr>
          <w:tag w:val="goog_rdk_0"/>
        </w:sdtPr>
        <w:sdtContent>
          <w:commentRangeStart w:id="0"/>
        </w:sdtContent>
      </w:sdt>
      <w:r w:rsidDel="00000000" w:rsidR="00000000" w:rsidRPr="00000000">
        <w:rPr>
          <w:sz w:val="31"/>
          <w:szCs w:val="31"/>
          <w:rtl w:val="0"/>
        </w:rPr>
        <w:t xml:space="preserve">Coder-level Analysis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ind w:left="-5" w:firstLine="0"/>
        <w:rPr>
          <w:sz w:val="22"/>
          <w:szCs w:val="22"/>
        </w:rPr>
      </w:pPr>
      <w:r w:rsidDel="00000000" w:rsidR="00000000" w:rsidRPr="00000000">
        <w:rPr>
          <w:sz w:val="22"/>
          <w:szCs w:val="22"/>
          <w:rtl w:val="0"/>
        </w:rPr>
        <w:t xml:space="preserve">The degree of agreement among experts can be interpreted as a graded measure of the degree to which each criterion is likely to be useful for discriminating between better and worse locations. Arguably, it is also reasonable to interpret these proportions as, in part, reflections of degrees of fair elections or civil liberties because the more </w:t>
      </w:r>
      <w:sdt>
        <w:sdtPr>
          <w:tag w:val="goog_rdk_1"/>
        </w:sdtPr>
        <w:sdtContent>
          <w:commentRangeStart w:id="1"/>
        </w:sdtContent>
      </w:sdt>
      <w:r w:rsidDel="00000000" w:rsidR="00000000" w:rsidRPr="00000000">
        <w:rPr>
          <w:sz w:val="22"/>
          <w:szCs w:val="22"/>
          <w:rtl w:val="0"/>
        </w:rPr>
        <w:t xml:space="preserve">democratic</w:t>
      </w:r>
      <w:commentRangeEnd w:id="1"/>
      <w:r w:rsidDel="00000000" w:rsidR="00000000" w:rsidRPr="00000000">
        <w:commentReference w:id="1"/>
      </w:r>
      <w:r w:rsidDel="00000000" w:rsidR="00000000" w:rsidRPr="00000000">
        <w:rPr>
          <w:sz w:val="22"/>
          <w:szCs w:val="22"/>
          <w:rtl w:val="0"/>
        </w:rPr>
        <w:t xml:space="preserve"> a subnational unit is, the more likely experts are to notice it. In effect, we assume that experts perceive degrees of democracy, but also have their own subjective thresholds on that continuum that they use to distinguish more democratic situations from less democratic ones when they are asked to make a binary classification. </w:t>
      </w:r>
    </w:p>
    <w:p w:rsidR="00000000" w:rsidDel="00000000" w:rsidP="00000000" w:rsidRDefault="00000000" w:rsidRPr="00000000" w14:paraId="00000039">
      <w:pPr>
        <w:spacing w:after="460" w:lineRule="auto"/>
        <w:ind w:left="-5" w:firstLine="0"/>
        <w:rPr>
          <w:sz w:val="22"/>
          <w:szCs w:val="22"/>
        </w:rPr>
      </w:pPr>
      <w:r w:rsidDel="00000000" w:rsidR="00000000" w:rsidRPr="00000000">
        <w:rPr>
          <w:sz w:val="22"/>
          <w:szCs w:val="22"/>
          <w:rtl w:val="0"/>
        </w:rPr>
        <w:t xml:space="preserve">Experts’ thresholds differ, but the more democratic a unit is on the underlying continuous dimension, the larger the proportion of experts that will judge it to be in the “more democratic” category. This psychological model is the basis for the Bayesian Item Response Theory (IRT) measurement model that V-Dem uses to aggregate multiple coders’ ratings into point measures for country-years (Marquardt and Pemstein 2018; Pemstein et al. 2023). Although it would be ideal to utilize a comparable model for this project, we lack sufficient data to attain the statistical power equivalent to that available in V-Dem. Instead, we rely on coder-level information that can be used for weighting the relative importance of the subnational survey criteria for a given country in a given year.</w:t>
      </w:r>
    </w:p>
    <w:p w:rsidR="00000000" w:rsidDel="00000000" w:rsidP="00000000" w:rsidRDefault="00000000" w:rsidRPr="00000000" w14:paraId="0000003A">
      <w:pPr>
        <w:pStyle w:val="Heading2"/>
        <w:numPr>
          <w:ilvl w:val="1"/>
          <w:numId w:val="4"/>
        </w:numPr>
        <w:ind w:left="568" w:hanging="583"/>
        <w:rPr>
          <w:sz w:val="26"/>
          <w:szCs w:val="26"/>
        </w:rPr>
      </w:pPr>
      <w:r w:rsidDel="00000000" w:rsidR="00000000" w:rsidRPr="00000000">
        <w:rPr>
          <w:sz w:val="26"/>
          <w:szCs w:val="26"/>
          <w:rtl w:val="0"/>
        </w:rPr>
        <w:t xml:space="preserve">Coder proportion scores</w:t>
      </w:r>
    </w:p>
    <w:p w:rsidR="00000000" w:rsidDel="00000000" w:rsidP="00000000" w:rsidRDefault="00000000" w:rsidRPr="00000000" w14:paraId="0000003B">
      <w:pPr>
        <w:spacing w:after="112" w:lineRule="auto"/>
        <w:ind w:left="-5" w:firstLine="0"/>
        <w:rPr>
          <w:sz w:val="22"/>
          <w:szCs w:val="22"/>
        </w:rPr>
      </w:pPr>
      <w:r w:rsidDel="00000000" w:rsidR="00000000" w:rsidRPr="00000000">
        <w:rPr>
          <w:sz w:val="22"/>
          <w:szCs w:val="22"/>
          <w:rtl w:val="0"/>
        </w:rPr>
        <w:t xml:space="preserve">Coder scores for each criteria-year observation are proportions. Because they are proportions, scores can be used for weights or interacted with standardized geolocated data, for example. Below we utilize the cumulative distribution function (CDF), for example, to produce relatively straightforward summary measures of subnational democracy at the municipal-level that can be interacted with </w:t>
      </w:r>
      <w:r w:rsidDel="00000000" w:rsidR="00000000" w:rsidRPr="00000000">
        <w:rPr>
          <w:sz w:val="22"/>
          <w:szCs w:val="22"/>
          <w:rtl w:val="0"/>
        </w:rPr>
        <w:t xml:space="preserve">V-Dem</w:t>
      </w:r>
      <w:r w:rsidDel="00000000" w:rsidR="00000000" w:rsidRPr="00000000">
        <w:rPr>
          <w:sz w:val="22"/>
          <w:szCs w:val="22"/>
          <w:rtl w:val="0"/>
        </w:rPr>
        <w:t xml:space="preserve"> data. However, these proportional scores are “noisy” data, in the sense that coders may not have access to country-wide municipal data on phenomena such as illicit activity or population sparsity. Moreover, some information may be missing especially in areas with weak institutional capacity.</w:t>
      </w:r>
    </w:p>
    <w:p w:rsidR="00000000" w:rsidDel="00000000" w:rsidP="00000000" w:rsidRDefault="00000000" w:rsidRPr="00000000" w14:paraId="0000003C">
      <w:pPr>
        <w:ind w:left="-5" w:firstLine="0"/>
        <w:jc w:val="center"/>
        <w:rPr>
          <w:b w:val="1"/>
          <w:sz w:val="22"/>
          <w:szCs w:val="22"/>
        </w:rPr>
      </w:pPr>
      <w:r w:rsidDel="00000000" w:rsidR="00000000" w:rsidRPr="00000000">
        <w:rPr>
          <w:b w:val="1"/>
          <w:sz w:val="22"/>
          <w:szCs w:val="22"/>
          <w:rtl w:val="0"/>
        </w:rPr>
        <w:t xml:space="preserve">Table 2: V-Dem response scores for Colombia in 2018</w:t>
      </w:r>
    </w:p>
    <w:tbl>
      <w:tblPr>
        <w:tblStyle w:val="Table1"/>
        <w:tblW w:w="9392.0" w:type="dxa"/>
        <w:jc w:val="left"/>
        <w:tblLayout w:type="fixed"/>
        <w:tblLook w:val="0400"/>
      </w:tblPr>
      <w:tblGrid>
        <w:gridCol w:w="2161"/>
        <w:gridCol w:w="1626"/>
        <w:gridCol w:w="1781"/>
        <w:gridCol w:w="2042"/>
        <w:gridCol w:w="1782"/>
        <w:tblGridChange w:id="0">
          <w:tblGrid>
            <w:gridCol w:w="2161"/>
            <w:gridCol w:w="1626"/>
            <w:gridCol w:w="1781"/>
            <w:gridCol w:w="2042"/>
            <w:gridCol w:w="1782"/>
          </w:tblGrid>
        </w:tblGridChange>
      </w:tblGrid>
      <w:tr>
        <w:trPr>
          <w:cantSplit w:val="0"/>
          <w:trHeight w:val="342" w:hRule="atLeast"/>
          <w:tblHeader w:val="0"/>
        </w:trPr>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3D">
            <w:pPr>
              <w:spacing w:line="259" w:lineRule="auto"/>
              <w:ind w:left="120" w:firstLine="0"/>
              <w:jc w:val="left"/>
              <w:rPr/>
            </w:pPr>
            <w:r w:rsidDel="00000000" w:rsidR="00000000" w:rsidRPr="00000000">
              <w:rPr>
                <w:b w:val="1"/>
                <w:rtl w:val="0"/>
              </w:rPr>
              <w:t xml:space="preserve">Response Criteria</w:t>
            </w: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3E">
            <w:pPr>
              <w:spacing w:line="259" w:lineRule="auto"/>
              <w:ind w:left="0"/>
              <w:jc w:val="left"/>
              <w:rPr/>
            </w:pPr>
            <w:r w:rsidDel="00000000" w:rsidR="00000000" w:rsidRPr="00000000">
              <w:rPr>
                <w:b w:val="1"/>
                <w:rtl w:val="0"/>
              </w:rPr>
              <w:t xml:space="preserve">Elec. less free</w:t>
            </w: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3F">
            <w:pPr>
              <w:spacing w:line="259" w:lineRule="auto"/>
              <w:ind w:left="0"/>
              <w:jc w:val="left"/>
              <w:rPr/>
            </w:pPr>
            <w:r w:rsidDel="00000000" w:rsidR="00000000" w:rsidRPr="00000000">
              <w:rPr>
                <w:b w:val="1"/>
                <w:rtl w:val="0"/>
              </w:rPr>
              <w:t xml:space="preserve">Elec. more free</w:t>
            </w: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40">
            <w:pPr>
              <w:spacing w:line="259" w:lineRule="auto"/>
              <w:ind w:left="0"/>
              <w:jc w:val="left"/>
              <w:rPr/>
            </w:pPr>
            <w:r w:rsidDel="00000000" w:rsidR="00000000" w:rsidRPr="00000000">
              <w:rPr>
                <w:b w:val="1"/>
                <w:rtl w:val="0"/>
              </w:rPr>
              <w:t xml:space="preserve">Civil lib. stronger</w:t>
            </w:r>
            <w:r w:rsidDel="00000000" w:rsidR="00000000" w:rsidRPr="00000000">
              <w:rPr>
                <w:rtl w:val="0"/>
              </w:rPr>
            </w:r>
          </w:p>
        </w:tc>
        <w:tc>
          <w:tcPr>
            <w:tcBorders>
              <w:top w:color="000000" w:space="0" w:sz="6" w:val="single"/>
              <w:left w:color="000000" w:space="0" w:sz="0" w:val="nil"/>
              <w:bottom w:color="000000" w:space="0" w:sz="4" w:val="single"/>
              <w:right w:color="000000" w:space="0" w:sz="0" w:val="nil"/>
            </w:tcBorders>
          </w:tcPr>
          <w:p w:rsidR="00000000" w:rsidDel="00000000" w:rsidP="00000000" w:rsidRDefault="00000000" w:rsidRPr="00000000" w14:paraId="00000041">
            <w:pPr>
              <w:spacing w:line="259" w:lineRule="auto"/>
              <w:ind w:left="0"/>
              <w:jc w:val="left"/>
              <w:rPr/>
            </w:pPr>
            <w:r w:rsidDel="00000000" w:rsidR="00000000" w:rsidRPr="00000000">
              <w:rPr>
                <w:b w:val="1"/>
                <w:rtl w:val="0"/>
              </w:rPr>
              <w:t xml:space="preserve">Civil lib. weaker</w:t>
            </w:r>
            <w:r w:rsidDel="00000000" w:rsidR="00000000" w:rsidRPr="00000000">
              <w:rPr>
                <w:rtl w:val="0"/>
              </w:rPr>
            </w:r>
          </w:p>
        </w:tc>
      </w:tr>
      <w:tr>
        <w:trPr>
          <w:cantSplit w:val="0"/>
          <w:trHeight w:val="22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2">
            <w:pPr>
              <w:spacing w:line="259" w:lineRule="auto"/>
              <w:ind w:left="120" w:firstLine="0"/>
              <w:jc w:val="left"/>
              <w:rPr/>
            </w:pPr>
            <w:r w:rsidDel="00000000" w:rsidR="00000000" w:rsidRPr="00000000">
              <w:rPr>
                <w:rtl w:val="0"/>
              </w:rPr>
              <w:t xml:space="preserve">Rural</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3">
            <w:pPr>
              <w:spacing w:line="259" w:lineRule="auto"/>
              <w:ind w:left="933" w:firstLine="0"/>
              <w:jc w:val="left"/>
              <w:rPr/>
            </w:pPr>
            <w:r w:rsidDel="00000000" w:rsidR="00000000" w:rsidRPr="00000000">
              <w:rPr>
                <w:rtl w:val="0"/>
              </w:rPr>
              <w:t xml:space="preserve">0.875</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4">
            <w:pPr>
              <w:spacing w:line="259" w:lineRule="auto"/>
              <w:ind w:left="1088" w:firstLine="0"/>
              <w:jc w:val="left"/>
              <w:rPr/>
            </w:pPr>
            <w:r w:rsidDel="00000000" w:rsidR="00000000" w:rsidRPr="00000000">
              <w:rPr>
                <w:rtl w:val="0"/>
              </w:rPr>
              <w:t xml:space="preserve">0.000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5">
            <w:pPr>
              <w:spacing w:line="259" w:lineRule="auto"/>
              <w:ind w:left="0" w:right="120"/>
              <w:jc w:val="right"/>
              <w:rPr/>
            </w:pPr>
            <w:r w:rsidDel="00000000" w:rsidR="00000000" w:rsidRPr="00000000">
              <w:rPr>
                <w:rtl w:val="0"/>
              </w:rPr>
              <w:t xml:space="preserve">0.000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6">
            <w:pPr>
              <w:spacing w:line="259" w:lineRule="auto"/>
              <w:ind w:left="0"/>
              <w:jc w:val="right"/>
              <w:rPr/>
            </w:pPr>
            <w:r w:rsidDel="00000000" w:rsidR="00000000" w:rsidRPr="00000000">
              <w:rPr>
                <w:rtl w:val="0"/>
              </w:rPr>
              <w:t xml:space="preserve">1.0</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line="259" w:lineRule="auto"/>
              <w:ind w:left="120" w:firstLine="0"/>
              <w:jc w:val="left"/>
              <w:rPr/>
            </w:pPr>
            <w:r w:rsidDel="00000000" w:rsidR="00000000" w:rsidRPr="00000000">
              <w:rPr>
                <w:rtl w:val="0"/>
              </w:rPr>
              <w:t xml:space="preserve">Urban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line="259" w:lineRule="auto"/>
              <w:ind w:left="933" w:firstLine="0"/>
              <w:jc w:val="left"/>
              <w:rPr/>
            </w:pPr>
            <w:r w:rsidDel="00000000" w:rsidR="00000000" w:rsidRPr="00000000">
              <w:rPr>
                <w:rtl w:val="0"/>
              </w:rPr>
              <w:t xml:space="preserve">0.125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line="259" w:lineRule="auto"/>
              <w:ind w:left="1088" w:firstLine="0"/>
              <w:jc w:val="left"/>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line="259" w:lineRule="auto"/>
              <w:ind w:left="0" w:right="120"/>
              <w:jc w:val="right"/>
              <w:rPr/>
            </w:pPr>
            <w:r w:rsidDel="00000000" w:rsidR="00000000" w:rsidRPr="00000000">
              <w:rPr>
                <w:rtl w:val="0"/>
              </w:rPr>
              <w:t xml:space="preserve">0.889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line="259" w:lineRule="auto"/>
              <w:ind w:left="0"/>
              <w:jc w:val="right"/>
              <w:rPr/>
            </w:pPr>
            <w:r w:rsidDel="00000000" w:rsidR="00000000" w:rsidRPr="00000000">
              <w:rPr>
                <w:rtl w:val="0"/>
              </w:rPr>
              <w:t xml:space="preserve">0.0</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line="259" w:lineRule="auto"/>
              <w:ind w:left="120" w:firstLine="0"/>
              <w:jc w:val="left"/>
              <w:rPr/>
            </w:pPr>
            <w:r w:rsidDel="00000000" w:rsidR="00000000" w:rsidRPr="00000000">
              <w:rPr>
                <w:rtl w:val="0"/>
              </w:rPr>
              <w:t xml:space="preserve">Less econ devt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line="259" w:lineRule="auto"/>
              <w:ind w:left="933" w:firstLine="0"/>
              <w:jc w:val="left"/>
              <w:rPr/>
            </w:pPr>
            <w:r w:rsidDel="00000000" w:rsidR="00000000" w:rsidRPr="00000000">
              <w:rPr>
                <w:rtl w:val="0"/>
              </w:rPr>
              <w:t xml:space="preserve">0.875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line="259" w:lineRule="auto"/>
              <w:ind w:left="1088" w:firstLine="0"/>
              <w:jc w:val="left"/>
              <w:rPr/>
            </w:pPr>
            <w:r w:rsidDel="00000000" w:rsidR="00000000" w:rsidRPr="00000000">
              <w:rPr>
                <w:rtl w:val="0"/>
              </w:rPr>
              <w:t xml:space="preserve">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line="259" w:lineRule="auto"/>
              <w:ind w:left="0"/>
              <w:jc w:val="right"/>
              <w:rPr/>
            </w:pPr>
            <w:r w:rsidDel="00000000" w:rsidR="00000000" w:rsidRPr="00000000">
              <w:rPr>
                <w:rtl w:val="0"/>
              </w:rPr>
              <w:t xml:space="preserve">1.0</w:t>
            </w:r>
          </w:p>
        </w:tc>
      </w:tr>
      <w:tr>
        <w:trPr>
          <w:cantSplit w:val="0"/>
          <w:trHeight w:val="248.187255859374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line="259" w:lineRule="auto"/>
              <w:ind w:left="120" w:firstLine="0"/>
              <w:jc w:val="left"/>
              <w:rPr/>
            </w:pPr>
            <w:r w:rsidDel="00000000" w:rsidR="00000000" w:rsidRPr="00000000">
              <w:rPr>
                <w:rtl w:val="0"/>
              </w:rPr>
              <w:t xml:space="preserve">More econ devt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line="259" w:lineRule="auto"/>
              <w:ind w:left="933" w:firstLine="0"/>
              <w:jc w:val="left"/>
              <w:rPr/>
            </w:pPr>
            <w:r w:rsidDel="00000000" w:rsidR="00000000" w:rsidRPr="00000000">
              <w:rPr>
                <w:rtl w:val="0"/>
              </w:rPr>
              <w:t xml:space="preserve">0.125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line="259" w:lineRule="auto"/>
              <w:ind w:left="1088" w:firstLine="0"/>
              <w:jc w:val="left"/>
              <w:rPr/>
            </w:pPr>
            <w:r w:rsidDel="00000000" w:rsidR="00000000" w:rsidRPr="00000000">
              <w:rPr>
                <w:rtl w:val="0"/>
              </w:rPr>
              <w:t xml:space="preserve">0.667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line="259" w:lineRule="auto"/>
              <w:ind w:left="0" w:right="120"/>
              <w:jc w:val="right"/>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line="259" w:lineRule="auto"/>
              <w:ind w:left="0"/>
              <w:jc w:val="right"/>
              <w:rPr/>
            </w:pPr>
            <w:r w:rsidDel="00000000" w:rsidR="00000000" w:rsidRPr="00000000">
              <w:rPr>
                <w:rtl w:val="0"/>
              </w:rPr>
              <w:t xml:space="preserve">0.0</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line="259" w:lineRule="auto"/>
              <w:ind w:left="120" w:firstLine="0"/>
              <w:jc w:val="left"/>
              <w:rPr/>
            </w:pPr>
            <w:r w:rsidDel="00000000" w:rsidR="00000000" w:rsidRPr="00000000">
              <w:rPr>
                <w:rtl w:val="0"/>
              </w:rPr>
              <w:t xml:space="preserve">Inside 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line="259" w:lineRule="auto"/>
              <w:ind w:left="933"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line="259" w:lineRule="auto"/>
              <w:ind w:left="1088" w:firstLine="0"/>
              <w:jc w:val="left"/>
              <w:rPr/>
            </w:pPr>
            <w:r w:rsidDel="00000000" w:rsidR="00000000" w:rsidRPr="00000000">
              <w:rPr>
                <w:rtl w:val="0"/>
              </w:rPr>
              <w:t xml:space="preserve">0.889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line="259" w:lineRule="auto"/>
              <w:ind w:left="0" w:right="120"/>
              <w:jc w:val="right"/>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line="259" w:lineRule="auto"/>
              <w:ind w:left="0"/>
              <w:jc w:val="right"/>
              <w:rPr/>
            </w:pPr>
            <w:r w:rsidDel="00000000" w:rsidR="00000000" w:rsidRPr="00000000">
              <w:rPr>
                <w:rtl w:val="0"/>
              </w:rPr>
              <w:t xml:space="preserve">0.0</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line="259" w:lineRule="auto"/>
              <w:ind w:left="120" w:firstLine="0"/>
              <w:jc w:val="left"/>
              <w:rPr/>
            </w:pPr>
            <w:r w:rsidDel="00000000" w:rsidR="00000000" w:rsidRPr="00000000">
              <w:rPr>
                <w:rtl w:val="0"/>
              </w:rPr>
              <w:t xml:space="preserve">Outside 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spacing w:line="259" w:lineRule="auto"/>
              <w:ind w:left="933" w:firstLine="0"/>
              <w:jc w:val="left"/>
              <w:rPr/>
            </w:pPr>
            <w:r w:rsidDel="00000000" w:rsidR="00000000" w:rsidRPr="00000000">
              <w:rPr>
                <w:rtl w:val="0"/>
              </w:rPr>
              <w:t xml:space="preserve">0.375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line="259" w:lineRule="auto"/>
              <w:ind w:left="0"/>
              <w:jc w:val="right"/>
              <w:rPr/>
            </w:pPr>
            <w:r w:rsidDel="00000000" w:rsidR="00000000" w:rsidRPr="00000000">
              <w:rPr>
                <w:rtl w:val="0"/>
              </w:rPr>
              <w:t xml:space="preserve">0.6</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line="259" w:lineRule="auto"/>
              <w:ind w:left="120" w:firstLine="0"/>
              <w:jc w:val="left"/>
              <w:rPr/>
            </w:pPr>
            <w:r w:rsidDel="00000000" w:rsidR="00000000" w:rsidRPr="00000000">
              <w:rPr>
                <w:rtl w:val="0"/>
              </w:rPr>
              <w:t xml:space="preserve">North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line="259" w:lineRule="auto"/>
              <w:ind w:left="933" w:firstLine="0"/>
              <w:jc w:val="left"/>
              <w:rPr/>
            </w:pPr>
            <w:r w:rsidDel="00000000" w:rsidR="00000000" w:rsidRPr="00000000">
              <w:rPr>
                <w:rtl w:val="0"/>
              </w:rPr>
              <w:t xml:space="preserve">0.250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line="259" w:lineRule="auto"/>
              <w:ind w:left="1088" w:firstLine="0"/>
              <w:jc w:val="left"/>
              <w:rPr/>
            </w:pPr>
            <w:r w:rsidDel="00000000" w:rsidR="00000000" w:rsidRPr="00000000">
              <w:rPr>
                <w:rtl w:val="0"/>
              </w:rPr>
              <w:t xml:space="preserve">0.222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line="259" w:lineRule="auto"/>
              <w:ind w:left="0" w:right="120"/>
              <w:jc w:val="right"/>
              <w:rPr/>
            </w:pPr>
            <w:r w:rsidDel="00000000" w:rsidR="00000000" w:rsidRPr="00000000">
              <w:rPr>
                <w:rtl w:val="0"/>
              </w:rPr>
              <w:t xml:space="preserve">0.333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line="259" w:lineRule="auto"/>
              <w:ind w:left="0"/>
              <w:jc w:val="right"/>
              <w:rPr/>
            </w:pPr>
            <w:r w:rsidDel="00000000" w:rsidR="00000000" w:rsidRPr="00000000">
              <w:rPr>
                <w:rtl w:val="0"/>
              </w:rPr>
              <w:t xml:space="preserve">0.1</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259" w:lineRule="auto"/>
              <w:ind w:left="120" w:firstLine="0"/>
              <w:jc w:val="left"/>
              <w:rPr/>
            </w:pPr>
            <w:r w:rsidDel="00000000" w:rsidR="00000000" w:rsidRPr="00000000">
              <w:rPr>
                <w:rtl w:val="0"/>
              </w:rPr>
              <w:t xml:space="preserve">South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259" w:lineRule="auto"/>
              <w:ind w:left="933" w:firstLine="0"/>
              <w:jc w:val="left"/>
              <w:rPr/>
            </w:pPr>
            <w:r w:rsidDel="00000000" w:rsidR="00000000" w:rsidRPr="00000000">
              <w:rPr>
                <w:rtl w:val="0"/>
              </w:rPr>
              <w:t xml:space="preserve">0.250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259" w:lineRule="auto"/>
              <w:ind w:left="0"/>
              <w:jc w:val="right"/>
              <w:rPr/>
            </w:pPr>
            <w:r w:rsidDel="00000000" w:rsidR="00000000" w:rsidRPr="00000000">
              <w:rPr>
                <w:rtl w:val="0"/>
              </w:rPr>
              <w:t xml:space="preserve">0.5</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259" w:lineRule="auto"/>
              <w:ind w:left="120" w:firstLine="0"/>
              <w:jc w:val="left"/>
              <w:rPr/>
            </w:pPr>
            <w:r w:rsidDel="00000000" w:rsidR="00000000" w:rsidRPr="00000000">
              <w:rPr>
                <w:rtl w:val="0"/>
              </w:rPr>
              <w:t xml:space="preserve">West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259" w:lineRule="auto"/>
              <w:ind w:left="933" w:firstLine="0"/>
              <w:jc w:val="left"/>
              <w:rPr/>
            </w:pPr>
            <w:r w:rsidDel="00000000" w:rsidR="00000000" w:rsidRPr="00000000">
              <w:rPr>
                <w:rtl w:val="0"/>
              </w:rPr>
              <w:t xml:space="preserve">0.125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259" w:lineRule="auto"/>
              <w:ind w:left="0" w:right="120"/>
              <w:jc w:val="right"/>
              <w:rPr/>
            </w:pPr>
            <w:r w:rsidDel="00000000" w:rsidR="00000000" w:rsidRPr="00000000">
              <w:rPr>
                <w:rtl w:val="0"/>
              </w:rPr>
              <w:t xml:space="preserve">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259" w:lineRule="auto"/>
              <w:ind w:left="0"/>
              <w:jc w:val="right"/>
              <w:rPr/>
            </w:pPr>
            <w:r w:rsidDel="00000000" w:rsidR="00000000" w:rsidRPr="00000000">
              <w:rPr>
                <w:rtl w:val="0"/>
              </w:rPr>
              <w:t xml:space="preserve">0.3</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259" w:lineRule="auto"/>
              <w:ind w:left="120" w:firstLine="0"/>
              <w:jc w:val="left"/>
              <w:rPr/>
            </w:pPr>
            <w:r w:rsidDel="00000000" w:rsidR="00000000" w:rsidRPr="00000000">
              <w:rPr>
                <w:rtl w:val="0"/>
              </w:rPr>
              <w:t xml:space="preserve">East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259" w:lineRule="auto"/>
              <w:ind w:left="933" w:firstLine="0"/>
              <w:jc w:val="left"/>
              <w:rPr/>
            </w:pPr>
            <w:r w:rsidDel="00000000" w:rsidR="00000000" w:rsidRPr="00000000">
              <w:rPr>
                <w:rtl w:val="0"/>
              </w:rPr>
              <w:t xml:space="preserve">0.125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259" w:lineRule="auto"/>
              <w:ind w:left="0" w:right="120"/>
              <w:jc w:val="right"/>
              <w:rPr/>
            </w:pPr>
            <w:r w:rsidDel="00000000" w:rsidR="00000000" w:rsidRPr="00000000">
              <w:rPr>
                <w:rtl w:val="0"/>
              </w:rPr>
              <w:t xml:space="preserve">0.111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259" w:lineRule="auto"/>
              <w:ind w:left="0"/>
              <w:jc w:val="right"/>
              <w:rPr/>
            </w:pPr>
            <w:r w:rsidDel="00000000" w:rsidR="00000000" w:rsidRPr="00000000">
              <w:rPr>
                <w:rtl w:val="0"/>
              </w:rPr>
              <w:t xml:space="preserve">0.3</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259" w:lineRule="auto"/>
              <w:ind w:left="120" w:firstLine="0"/>
              <w:jc w:val="left"/>
              <w:rPr/>
            </w:pPr>
            <w:r w:rsidDel="00000000" w:rsidR="00000000" w:rsidRPr="00000000">
              <w:rPr>
                <w:rtl w:val="0"/>
              </w:rPr>
              <w:t xml:space="preserve">Civil unrest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259" w:lineRule="auto"/>
              <w:ind w:left="933" w:firstLine="0"/>
              <w:jc w:val="left"/>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259" w:lineRule="auto"/>
              <w:ind w:left="0"/>
              <w:jc w:val="right"/>
              <w:rPr/>
            </w:pPr>
            <w:r w:rsidDel="00000000" w:rsidR="00000000" w:rsidRPr="00000000">
              <w:rPr>
                <w:rtl w:val="0"/>
              </w:rPr>
              <w:t xml:space="preserve">0.9</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259" w:lineRule="auto"/>
              <w:ind w:left="120" w:firstLine="0"/>
              <w:jc w:val="left"/>
              <w:rPr/>
            </w:pPr>
            <w:r w:rsidDel="00000000" w:rsidR="00000000" w:rsidRPr="00000000">
              <w:rPr>
                <w:rtl w:val="0"/>
              </w:rPr>
              <w:t xml:space="preserve">Illicit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line="259" w:lineRule="auto"/>
              <w:ind w:left="933" w:firstLine="0"/>
              <w:jc w:val="left"/>
              <w:rPr/>
            </w:pPr>
            <w:r w:rsidDel="00000000" w:rsidR="00000000" w:rsidRPr="00000000">
              <w:rPr>
                <w:rtl w:val="0"/>
              </w:rPr>
              <w:t xml:space="preserve">0.875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line="259" w:lineRule="auto"/>
              <w:ind w:left="0"/>
              <w:jc w:val="right"/>
              <w:rPr/>
            </w:pPr>
            <w:r w:rsidDel="00000000" w:rsidR="00000000" w:rsidRPr="00000000">
              <w:rPr>
                <w:rtl w:val="0"/>
              </w:rPr>
              <w:t xml:space="preserve">0.9</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line="259" w:lineRule="auto"/>
              <w:ind w:left="120" w:firstLine="0"/>
              <w:jc w:val="left"/>
              <w:rPr/>
            </w:pPr>
            <w:r w:rsidDel="00000000" w:rsidR="00000000" w:rsidRPr="00000000">
              <w:rPr>
                <w:rtl w:val="0"/>
              </w:rPr>
              <w:t xml:space="preserve">Sparse pop.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line="259" w:lineRule="auto"/>
              <w:ind w:left="933" w:firstLine="0"/>
              <w:jc w:val="left"/>
              <w:rPr/>
            </w:pPr>
            <w:r w:rsidDel="00000000" w:rsidR="00000000" w:rsidRPr="00000000">
              <w:rPr>
                <w:rtl w:val="0"/>
              </w:rPr>
              <w:t xml:space="preserve">0.375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line="259" w:lineRule="auto"/>
              <w:ind w:left="0"/>
              <w:jc w:val="right"/>
              <w:rPr/>
            </w:pPr>
            <w:r w:rsidDel="00000000" w:rsidR="00000000" w:rsidRPr="00000000">
              <w:rPr>
                <w:rtl w:val="0"/>
              </w:rPr>
              <w:t xml:space="preserve">0.6</w:t>
            </w:r>
          </w:p>
        </w:tc>
      </w:tr>
      <w:tr>
        <w:trPr>
          <w:cantSplit w:val="0"/>
          <w:trHeight w:val="23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line="259" w:lineRule="auto"/>
              <w:ind w:left="120" w:firstLine="0"/>
              <w:jc w:val="left"/>
              <w:rPr/>
            </w:pPr>
            <w:r w:rsidDel="00000000" w:rsidR="00000000" w:rsidRPr="00000000">
              <w:rPr>
                <w:rtl w:val="0"/>
              </w:rPr>
              <w:t xml:space="preserve">Remote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line="259" w:lineRule="auto"/>
              <w:ind w:left="933" w:firstLine="0"/>
              <w:jc w:val="left"/>
              <w:rPr/>
            </w:pPr>
            <w:r w:rsidDel="00000000" w:rsidR="00000000" w:rsidRPr="00000000">
              <w:rPr>
                <w:rtl w:val="0"/>
              </w:rPr>
              <w:t xml:space="preserve">0.875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spacing w:line="259" w:lineRule="auto"/>
              <w:ind w:left="0"/>
              <w:jc w:val="right"/>
              <w:rPr/>
            </w:pPr>
            <w:r w:rsidDel="00000000" w:rsidR="00000000" w:rsidRPr="00000000">
              <w:rPr>
                <w:rtl w:val="0"/>
              </w:rPr>
              <w:t xml:space="preserve">0.8</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spacing w:line="259" w:lineRule="auto"/>
              <w:ind w:left="120" w:firstLine="0"/>
              <w:jc w:val="left"/>
              <w:rPr/>
            </w:pPr>
            <w:r w:rsidDel="00000000" w:rsidR="00000000" w:rsidRPr="00000000">
              <w:rPr>
                <w:rtl w:val="0"/>
              </w:rPr>
              <w:t xml:space="preserve">Indigenous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spacing w:line="259" w:lineRule="auto"/>
              <w:ind w:left="933" w:firstLine="0"/>
              <w:jc w:val="left"/>
              <w:rPr/>
            </w:pPr>
            <w:r w:rsidDel="00000000" w:rsidR="00000000" w:rsidRPr="00000000">
              <w:rPr>
                <w:rtl w:val="0"/>
              </w:rPr>
              <w:t xml:space="preserve">0.500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spacing w:line="259" w:lineRule="auto"/>
              <w:ind w:left="0"/>
              <w:jc w:val="right"/>
              <w:rPr/>
            </w:pPr>
            <w:r w:rsidDel="00000000" w:rsidR="00000000" w:rsidRPr="00000000">
              <w:rPr>
                <w:rtl w:val="0"/>
              </w:rPr>
              <w:t xml:space="preserve">0.9</w:t>
            </w:r>
          </w:p>
        </w:tc>
      </w:tr>
      <w:tr>
        <w:trPr>
          <w:cantSplit w:val="0"/>
          <w:trHeight w:val="2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line="259" w:lineRule="auto"/>
              <w:ind w:left="120" w:firstLine="0"/>
              <w:jc w:val="left"/>
              <w:rPr/>
            </w:pPr>
            <w:r w:rsidDel="00000000" w:rsidR="00000000" w:rsidRPr="00000000">
              <w:rPr>
                <w:rtl w:val="0"/>
              </w:rPr>
              <w:t xml:space="preserve">Ruling party strong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line="259" w:lineRule="auto"/>
              <w:ind w:left="933" w:firstLine="0"/>
              <w:jc w:val="left"/>
              <w:rPr/>
            </w:pPr>
            <w:r w:rsidDel="00000000" w:rsidR="00000000" w:rsidRPr="00000000">
              <w:rPr>
                <w:rtl w:val="0"/>
              </w:rPr>
              <w:t xml:space="preserve">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line="259" w:lineRule="auto"/>
              <w:ind w:left="1088" w:firstLine="0"/>
              <w:jc w:val="left"/>
              <w:rPr/>
            </w:pPr>
            <w:r w:rsidDel="00000000" w:rsidR="00000000" w:rsidRPr="00000000">
              <w:rPr>
                <w:rtl w:val="0"/>
              </w:rPr>
              <w:t xml:space="preserve">0.222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line="259" w:lineRule="auto"/>
              <w:ind w:left="0" w:right="120"/>
              <w:jc w:val="right"/>
              <w:rPr/>
            </w:pPr>
            <w:r w:rsidDel="00000000" w:rsidR="00000000" w:rsidRPr="00000000">
              <w:rPr>
                <w:rtl w:val="0"/>
              </w:rPr>
              <w:t xml:space="preserve">0.333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line="259" w:lineRule="auto"/>
              <w:ind w:left="0"/>
              <w:jc w:val="right"/>
              <w:rPr/>
            </w:pPr>
            <w:r w:rsidDel="00000000" w:rsidR="00000000" w:rsidRPr="00000000">
              <w:rPr>
                <w:rtl w:val="0"/>
              </w:rPr>
              <w:t xml:space="preserve">0.0</w:t>
            </w:r>
          </w:p>
        </w:tc>
      </w:tr>
      <w:tr>
        <w:trPr>
          <w:cantSplit w:val="0"/>
          <w:trHeight w:val="105" w:hRule="atLeast"/>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92">
            <w:pPr>
              <w:spacing w:line="259" w:lineRule="auto"/>
              <w:ind w:left="120" w:firstLine="0"/>
              <w:jc w:val="left"/>
              <w:rPr/>
            </w:pPr>
            <w:r w:rsidDel="00000000" w:rsidR="00000000" w:rsidRPr="00000000">
              <w:rPr>
                <w:rtl w:val="0"/>
              </w:rPr>
              <w:t xml:space="preserve">Ruling party weak</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93">
            <w:pPr>
              <w:spacing w:line="259" w:lineRule="auto"/>
              <w:ind w:left="933" w:firstLine="0"/>
              <w:jc w:val="left"/>
              <w:rPr/>
            </w:pPr>
            <w:r w:rsidDel="00000000" w:rsidR="00000000" w:rsidRPr="00000000">
              <w:rPr>
                <w:rtl w:val="0"/>
              </w:rPr>
              <w:t xml:space="preserve">0.000</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94">
            <w:pPr>
              <w:spacing w:line="259" w:lineRule="auto"/>
              <w:ind w:left="1088" w:firstLine="0"/>
              <w:jc w:val="left"/>
              <w:rPr/>
            </w:pPr>
            <w:r w:rsidDel="00000000" w:rsidR="00000000" w:rsidRPr="00000000">
              <w:rPr>
                <w:rtl w:val="0"/>
              </w:rPr>
              <w:t xml:space="preserve">0.000</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95">
            <w:pPr>
              <w:spacing w:line="259" w:lineRule="auto"/>
              <w:ind w:left="0" w:right="120"/>
              <w:jc w:val="right"/>
              <w:rPr/>
            </w:pPr>
            <w:r w:rsidDel="00000000" w:rsidR="00000000" w:rsidRPr="00000000">
              <w:rPr>
                <w:rtl w:val="0"/>
              </w:rPr>
              <w:t xml:space="preserve">0.000</w:t>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96">
            <w:pPr>
              <w:spacing w:line="259" w:lineRule="auto"/>
              <w:ind w:left="0"/>
              <w:jc w:val="right"/>
              <w:rPr/>
            </w:pPr>
            <w:r w:rsidDel="00000000" w:rsidR="00000000" w:rsidRPr="00000000">
              <w:rPr>
                <w:rtl w:val="0"/>
              </w:rPr>
              <w:t xml:space="preserve">0.1</w:t>
            </w:r>
          </w:p>
        </w:tc>
      </w:tr>
    </w:tbl>
    <w:p w:rsidR="00000000" w:rsidDel="00000000" w:rsidP="00000000" w:rsidRDefault="00000000" w:rsidRPr="00000000" w14:paraId="00000097">
      <w:pPr>
        <w:spacing w:after="112" w:lineRule="auto"/>
        <w:ind w:left="-5" w:firstLine="0"/>
        <w:rPr>
          <w:sz w:val="22"/>
          <w:szCs w:val="22"/>
        </w:rPr>
      </w:pPr>
      <w:r w:rsidDel="00000000" w:rsidR="00000000" w:rsidRPr="00000000">
        <w:rPr>
          <w:rtl w:val="0"/>
        </w:rPr>
      </w:r>
    </w:p>
    <w:p w:rsidR="00000000" w:rsidDel="00000000" w:rsidP="00000000" w:rsidRDefault="00000000" w:rsidRPr="00000000" w14:paraId="00000098">
      <w:pPr>
        <w:spacing w:after="114" w:lineRule="auto"/>
        <w:ind w:left="-5" w:firstLine="0"/>
        <w:rPr>
          <w:sz w:val="22"/>
          <w:szCs w:val="22"/>
        </w:rPr>
      </w:pPr>
      <w:r w:rsidDel="00000000" w:rsidR="00000000" w:rsidRPr="00000000">
        <w:rPr>
          <w:sz w:val="22"/>
          <w:szCs w:val="22"/>
          <w:rtl w:val="0"/>
        </w:rPr>
        <w:t xml:space="preserve">To visualize how these scores vary across survey items, Table 2 shows the proportional scores for V-Dem data subset to Colombia for 2018. We use these scores to demonstrate the mapping procedure below. As the table shows, some survey criteria register high degrees of variation (e.g., Rural or Urban, Economic development, Capital city, Civil unrest, Illicit activity) while others register relatively lower variation (e.g., North-South-West-East, Ruling party strong or weak).</w:t>
      </w:r>
    </w:p>
    <w:p w:rsidR="00000000" w:rsidDel="00000000" w:rsidP="00000000" w:rsidRDefault="00000000" w:rsidRPr="00000000" w14:paraId="00000099">
      <w:pPr>
        <w:numPr>
          <w:ilvl w:val="0"/>
          <w:numId w:val="1"/>
        </w:numPr>
        <w:spacing w:after="114" w:lineRule="auto"/>
        <w:ind w:left="720" w:hanging="360"/>
        <w:rPr>
          <w:sz w:val="22"/>
          <w:szCs w:val="22"/>
          <w:u w:val="none"/>
        </w:rPr>
      </w:pPr>
      <w:r w:rsidDel="00000000" w:rsidR="00000000" w:rsidRPr="00000000">
        <w:rPr>
          <w:sz w:val="22"/>
          <w:szCs w:val="22"/>
          <w:rtl w:val="0"/>
        </w:rPr>
        <w:t xml:space="preserve">describe the consensus, cross-surveys. </w:t>
      </w:r>
    </w:p>
    <w:p w:rsidR="00000000" w:rsidDel="00000000" w:rsidP="00000000" w:rsidRDefault="00000000" w:rsidRPr="00000000" w14:paraId="0000009A">
      <w:pPr>
        <w:spacing w:after="459" w:lineRule="auto"/>
        <w:ind w:left="-5" w:firstLine="0"/>
        <w:rPr>
          <w:sz w:val="22"/>
          <w:szCs w:val="22"/>
        </w:rPr>
      </w:pPr>
      <w:r w:rsidDel="00000000" w:rsidR="00000000" w:rsidRPr="00000000">
        <w:rPr>
          <w:sz w:val="22"/>
          <w:szCs w:val="22"/>
          <w:rtl w:val="0"/>
        </w:rPr>
        <w:t xml:space="preserve">With regard to scores of </w:t>
      </w:r>
      <w:r w:rsidDel="00000000" w:rsidR="00000000" w:rsidRPr="00000000">
        <w:rPr>
          <w:rFonts w:ascii="Courier New" w:cs="Courier New" w:eastAsia="Courier New" w:hAnsi="Courier New"/>
          <w:sz w:val="22"/>
          <w:szCs w:val="22"/>
          <w:rtl w:val="0"/>
        </w:rPr>
        <w:t xml:space="preserve">0</w:t>
      </w:r>
      <w:r w:rsidDel="00000000" w:rsidR="00000000" w:rsidRPr="00000000">
        <w:rPr>
          <w:sz w:val="22"/>
          <w:szCs w:val="22"/>
          <w:rtl w:val="0"/>
        </w:rPr>
        <w:t xml:space="preserve">, the data do not distinguish between coders who selected “no” and coders who did not respond. For example, for the survey question on Elections that were less free and fair in 2018, a total of eight coders responded. However, we are unable to determine whether the final score </w:t>
      </w:r>
      <w:r w:rsidDel="00000000" w:rsidR="00000000" w:rsidRPr="00000000">
        <w:rPr>
          <w:rFonts w:ascii="Courier New" w:cs="Courier New" w:eastAsia="Courier New" w:hAnsi="Courier New"/>
          <w:sz w:val="22"/>
          <w:szCs w:val="22"/>
          <w:rtl w:val="0"/>
        </w:rPr>
        <w:t xml:space="preserve">0.000 </w:t>
      </w:r>
      <w:r w:rsidDel="00000000" w:rsidR="00000000" w:rsidRPr="00000000">
        <w:rPr>
          <w:sz w:val="22"/>
          <w:szCs w:val="22"/>
          <w:rtl w:val="0"/>
        </w:rPr>
        <w:t xml:space="preserve">for “Areas where the ruling party is weak” results from a particular combination of coders, say five that agreed “no” this is not a relevant criterion, and another three did not respond (“NA”) because they did not have an opinion. In the case of Indigenous, the final score is </w:t>
      </w:r>
      <w:r w:rsidDel="00000000" w:rsidR="00000000" w:rsidRPr="00000000">
        <w:rPr>
          <w:rFonts w:ascii="Courier New" w:cs="Courier New" w:eastAsia="Courier New" w:hAnsi="Courier New"/>
          <w:sz w:val="22"/>
          <w:szCs w:val="22"/>
          <w:rtl w:val="0"/>
        </w:rPr>
        <w:t xml:space="preserve">0.500 </w:t>
      </w:r>
      <w:r w:rsidDel="00000000" w:rsidR="00000000" w:rsidRPr="00000000">
        <w:rPr>
          <w:sz w:val="22"/>
          <w:szCs w:val="22"/>
          <w:rtl w:val="0"/>
        </w:rPr>
        <w:t xml:space="preserve">but all we know is that half of </w:t>
      </w:r>
      <w:sdt>
        <w:sdtPr>
          <w:tag w:val="goog_rdk_2"/>
        </w:sdtPr>
        <w:sdtContent>
          <w:commentRangeStart w:id="2"/>
        </w:sdtContent>
      </w:sdt>
      <w:r w:rsidDel="00000000" w:rsidR="00000000" w:rsidRPr="00000000">
        <w:rPr>
          <w:sz w:val="22"/>
          <w:szCs w:val="22"/>
          <w:rtl w:val="0"/>
        </w:rPr>
        <w:t xml:space="preserve">all coders</w:t>
      </w:r>
      <w:commentRangeEnd w:id="2"/>
      <w:r w:rsidDel="00000000" w:rsidR="00000000" w:rsidRPr="00000000">
        <w:commentReference w:id="2"/>
      </w:r>
      <w:r w:rsidDel="00000000" w:rsidR="00000000" w:rsidRPr="00000000">
        <w:rPr>
          <w:sz w:val="22"/>
          <w:szCs w:val="22"/>
          <w:rtl w:val="0"/>
        </w:rPr>
        <w:t xml:space="preserve"> thought this was relevant and the other half thought it was not or had no opinion.</w:t>
      </w:r>
    </w:p>
    <w:p w:rsidR="00000000" w:rsidDel="00000000" w:rsidP="00000000" w:rsidRDefault="00000000" w:rsidRPr="00000000" w14:paraId="0000009B">
      <w:pPr>
        <w:pStyle w:val="Heading2"/>
        <w:numPr>
          <w:ilvl w:val="1"/>
          <w:numId w:val="4"/>
        </w:numPr>
        <w:ind w:left="568" w:hanging="583"/>
        <w:rPr>
          <w:sz w:val="26"/>
          <w:szCs w:val="26"/>
        </w:rPr>
      </w:pPr>
      <w:r w:rsidDel="00000000" w:rsidR="00000000" w:rsidRPr="00000000">
        <w:rPr>
          <w:sz w:val="26"/>
          <w:szCs w:val="26"/>
          <w:rtl w:val="0"/>
        </w:rPr>
        <w:t xml:space="preserve">Confidence scores</w:t>
      </w:r>
    </w:p>
    <w:p w:rsidR="00000000" w:rsidDel="00000000" w:rsidP="00000000" w:rsidRDefault="00000000" w:rsidRPr="00000000" w14:paraId="0000009C">
      <w:pPr>
        <w:spacing w:after="313" w:lineRule="auto"/>
        <w:ind w:left="-5" w:firstLine="0"/>
        <w:rPr>
          <w:sz w:val="22"/>
          <w:szCs w:val="22"/>
        </w:rPr>
      </w:pPr>
      <w:r w:rsidDel="00000000" w:rsidR="00000000" w:rsidRPr="00000000">
        <w:rPr>
          <w:sz w:val="22"/>
          <w:szCs w:val="22"/>
          <w:rtl w:val="0"/>
        </w:rPr>
        <w:t xml:space="preserve">In addition to the final proportion of responses, V-Dem also collects the level of self-reported confidence at the individual coder-level, scaled from </w:t>
      </w:r>
      <w:r w:rsidDel="00000000" w:rsidR="00000000" w:rsidRPr="00000000">
        <w:rPr>
          <w:rFonts w:ascii="Courier New" w:cs="Courier New" w:eastAsia="Courier New" w:hAnsi="Courier New"/>
          <w:sz w:val="22"/>
          <w:szCs w:val="22"/>
          <w:rtl w:val="0"/>
        </w:rPr>
        <w:t xml:space="preserve">0 </w:t>
      </w:r>
      <w:r w:rsidDel="00000000" w:rsidR="00000000" w:rsidRPr="00000000">
        <w:rPr>
          <w:sz w:val="22"/>
          <w:szCs w:val="22"/>
          <w:rtl w:val="0"/>
        </w:rPr>
        <w:t xml:space="preserve">to </w:t>
      </w:r>
      <w:r w:rsidDel="00000000" w:rsidR="00000000" w:rsidRPr="00000000">
        <w:rPr>
          <w:rFonts w:ascii="Courier New" w:cs="Courier New" w:eastAsia="Courier New" w:hAnsi="Courier New"/>
          <w:sz w:val="22"/>
          <w:szCs w:val="22"/>
          <w:rtl w:val="0"/>
        </w:rPr>
        <w:t xml:space="preserve">100</w:t>
      </w:r>
      <w:r w:rsidDel="00000000" w:rsidR="00000000" w:rsidRPr="00000000">
        <w:rPr>
          <w:sz w:val="22"/>
          <w:szCs w:val="22"/>
          <w:rtl w:val="0"/>
        </w:rPr>
        <w:t xml:space="preserve">. In theory, this could provide a useful metric by which to weight responses. For example, the average level of confidence for coder-level responses to More free elections criteria in 2018 was </w:t>
      </w:r>
      <w:r w:rsidDel="00000000" w:rsidR="00000000" w:rsidRPr="00000000">
        <w:rPr>
          <w:rFonts w:ascii="Courier New" w:cs="Courier New" w:eastAsia="Courier New" w:hAnsi="Courier New"/>
          <w:sz w:val="22"/>
          <w:szCs w:val="22"/>
          <w:rtl w:val="0"/>
        </w:rPr>
        <w:t xml:space="preserve">76.43 </w:t>
      </w:r>
      <w:r w:rsidDel="00000000" w:rsidR="00000000" w:rsidRPr="00000000">
        <w:rPr>
          <w:sz w:val="22"/>
          <w:szCs w:val="22"/>
          <w:rtl w:val="0"/>
        </w:rPr>
        <w:t xml:space="preserve">compared to </w:t>
      </w:r>
      <w:r w:rsidDel="00000000" w:rsidR="00000000" w:rsidRPr="00000000">
        <w:rPr>
          <w:rFonts w:ascii="Courier New" w:cs="Courier New" w:eastAsia="Courier New" w:hAnsi="Courier New"/>
          <w:sz w:val="22"/>
          <w:szCs w:val="22"/>
          <w:rtl w:val="0"/>
        </w:rPr>
        <w:t xml:space="preserve">90 </w:t>
      </w:r>
      <w:r w:rsidDel="00000000" w:rsidR="00000000" w:rsidRPr="00000000">
        <w:rPr>
          <w:sz w:val="22"/>
          <w:szCs w:val="22"/>
          <w:rtl w:val="0"/>
        </w:rPr>
        <w:t xml:space="preserve">for Less free elections. These values could be applied to the final scores for each category at the municipal-level resulting in a differential estimation of the characteristics affecting subnational elections. </w:t>
      </w:r>
      <w:sdt>
        <w:sdtPr>
          <w:tag w:val="goog_rdk_3"/>
        </w:sdtPr>
        <w:sdtContent>
          <w:commentRangeStart w:id="3"/>
        </w:sdtContent>
      </w:sdt>
      <w:sdt>
        <w:sdtPr>
          <w:tag w:val="goog_rdk_4"/>
        </w:sdtPr>
        <w:sdtContent>
          <w:commentRangeStart w:id="4"/>
        </w:sdtContent>
      </w:sdt>
      <w:r w:rsidDel="00000000" w:rsidR="00000000" w:rsidRPr="00000000">
        <w:rPr>
          <w:sz w:val="22"/>
          <w:szCs w:val="22"/>
          <w:rtl w:val="0"/>
        </w:rPr>
        <w:t xml:space="preserve">However, this adds another layer of complexity because self-reported confidence is a subjective and non-standard practice.</w:t>
      </w:r>
      <w:commentRangeEnd w:id="3"/>
      <w:r w:rsidDel="00000000" w:rsidR="00000000" w:rsidRPr="00000000">
        <w:commentReference w:id="3"/>
      </w:r>
      <w:commentRangeEnd w:id="4"/>
      <w:r w:rsidDel="00000000" w:rsidR="00000000" w:rsidRPr="00000000">
        <w:commentReference w:id="4"/>
      </w:r>
      <w:r w:rsidDel="00000000" w:rsidR="00000000" w:rsidRPr="00000000">
        <w:rPr>
          <w:sz w:val="22"/>
          <w:szCs w:val="22"/>
          <w:rtl w:val="0"/>
        </w:rPr>
        <w:t xml:space="preserve"> </w:t>
      </w:r>
      <w:sdt>
        <w:sdtPr>
          <w:tag w:val="goog_rdk_5"/>
        </w:sdtPr>
        <w:sdtContent>
          <w:commentRangeStart w:id="5"/>
        </w:sdtContent>
      </w:sdt>
      <w:r w:rsidDel="00000000" w:rsidR="00000000" w:rsidRPr="00000000">
        <w:rPr>
          <w:sz w:val="22"/>
          <w:szCs w:val="22"/>
          <w:rtl w:val="0"/>
        </w:rPr>
        <w:t xml:space="preserve">Individual coder reliability scores exist, and they are used for calculating point scores for the final indices in V-Dem, however these are unpublished.</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9D">
      <w:pPr>
        <w:pStyle w:val="Heading2"/>
        <w:numPr>
          <w:ilvl w:val="1"/>
          <w:numId w:val="4"/>
        </w:numPr>
        <w:ind w:left="568" w:hanging="583"/>
        <w:rPr>
          <w:sz w:val="26"/>
          <w:szCs w:val="26"/>
        </w:rPr>
      </w:pPr>
      <w:r w:rsidDel="00000000" w:rsidR="00000000" w:rsidRPr="00000000">
        <w:rPr>
          <w:sz w:val="26"/>
          <w:szCs w:val="26"/>
          <w:rtl w:val="0"/>
        </w:rPr>
        <w:t xml:space="preserve">Numbers of coders</w:t>
      </w:r>
    </w:p>
    <w:p w:rsidR="00000000" w:rsidDel="00000000" w:rsidP="00000000" w:rsidRDefault="00000000" w:rsidRPr="00000000" w14:paraId="0000009E">
      <w:pPr>
        <w:ind w:left="-5" w:firstLine="0"/>
        <w:rPr>
          <w:sz w:val="22"/>
          <w:szCs w:val="22"/>
        </w:rPr>
      </w:pPr>
      <w:r w:rsidDel="00000000" w:rsidR="00000000" w:rsidRPr="00000000">
        <w:rPr>
          <w:sz w:val="22"/>
          <w:szCs w:val="22"/>
          <w:rtl w:val="0"/>
        </w:rPr>
        <w:t xml:space="preserve">A high number of coders may shy away from even providing responses to the four subnational democracy questions in the V-Dem survey. Figure 1 shows the difference in the average number of coders (V-Dem variables ending in </w:t>
      </w:r>
      <w:r w:rsidDel="00000000" w:rsidR="00000000" w:rsidRPr="00000000">
        <w:rPr>
          <w:rFonts w:ascii="Courier New" w:cs="Courier New" w:eastAsia="Courier New" w:hAnsi="Courier New"/>
          <w:sz w:val="22"/>
          <w:szCs w:val="22"/>
          <w:rtl w:val="0"/>
        </w:rPr>
        <w:t xml:space="preserve">*_nr</w:t>
      </w:r>
      <w:r w:rsidDel="00000000" w:rsidR="00000000" w:rsidRPr="00000000">
        <w:rPr>
          <w:sz w:val="22"/>
          <w:szCs w:val="22"/>
          <w:rtl w:val="0"/>
        </w:rPr>
        <w:t xml:space="preserve">) for the topics of elections and civil liberties in Colombia from 1900-2022. </w:t>
      </w:r>
      <w:sdt>
        <w:sdtPr>
          <w:tag w:val="goog_rdk_6"/>
        </w:sdtPr>
        <w:sdtContent>
          <w:commentRangeStart w:id="6"/>
        </w:sdtContent>
      </w:sdt>
      <w:r w:rsidDel="00000000" w:rsidR="00000000" w:rsidRPr="00000000">
        <w:rPr>
          <w:sz w:val="22"/>
          <w:szCs w:val="22"/>
          <w:rtl w:val="0"/>
        </w:rPr>
        <w:t xml:space="preserve">Subtracting the average number of coders that responded to subnational questions from the average number of coders that responded to non-subnational questions, the differences have always remained positive. </w:t>
      </w:r>
      <w:commentRangeEnd w:id="6"/>
      <w:r w:rsidDel="00000000" w:rsidR="00000000" w:rsidRPr="00000000">
        <w:commentReference w:id="6"/>
      </w:r>
      <w:r w:rsidDel="00000000" w:rsidR="00000000" w:rsidRPr="00000000">
        <w:rPr>
          <w:sz w:val="22"/>
          <w:szCs w:val="22"/>
          <w:rtl w:val="0"/>
        </w:rPr>
        <w:t xml:space="preserve">Fewer coders respond to subnational questions than to non-subnational questions. Because fewer coders decide to respond to these questions, this may suggest a lack of conclusive information around the topic of subnational democracy in Colombia, at least as conceptualized using V-Dem criteria. Comparing surveys, the elections questions register a higher average difference compared to civil liberties questions, escalating notably after the direct elections of mayors was introduced in 1988. There is a major escalation in elections-related differences to about 8.5 coders between 2005-2012, while the difference in civil liberties-related questions has declined steadily over time.</w:t>
      </w:r>
    </w:p>
    <w:p w:rsidR="00000000" w:rsidDel="00000000" w:rsidP="00000000" w:rsidRDefault="00000000" w:rsidRPr="00000000" w14:paraId="0000009F">
      <w:pPr>
        <w:spacing w:after="278" w:line="259" w:lineRule="auto"/>
        <w:ind w:left="0" w:firstLine="0"/>
        <w:jc w:val="left"/>
        <w:rPr/>
      </w:pPr>
      <w:r w:rsidDel="00000000" w:rsidR="00000000" w:rsidRPr="00000000">
        <w:rPr/>
        <w:drawing>
          <wp:inline distB="0" distT="0" distL="0" distR="0">
            <wp:extent cx="5943825" cy="4075985"/>
            <wp:effectExtent b="0" l="0" r="0" t="0"/>
            <wp:docPr id="1539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825" cy="407598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389" w:line="259" w:lineRule="auto"/>
        <w:ind w:left="-5" w:firstLine="0"/>
        <w:rPr/>
      </w:pPr>
      <w:r w:rsidDel="00000000" w:rsidR="00000000" w:rsidRPr="00000000">
        <w:rPr>
          <w:rtl w:val="0"/>
        </w:rPr>
        <w:t xml:space="preserve">Figure 1: Difference between the average number of coders that responded to the national-level survey questions and the average that responded to subnational-level questions, in the case of Colombia.</w:t>
      </w:r>
    </w:p>
    <w:p w:rsidR="00000000" w:rsidDel="00000000" w:rsidP="00000000" w:rsidRDefault="00000000" w:rsidRPr="00000000" w14:paraId="000000A1">
      <w:pPr>
        <w:spacing w:after="313" w:lineRule="auto"/>
        <w:ind w:left="-5" w:firstLine="0"/>
        <w:rPr>
          <w:sz w:val="22"/>
          <w:szCs w:val="22"/>
        </w:rPr>
      </w:pPr>
      <w:r w:rsidDel="00000000" w:rsidR="00000000" w:rsidRPr="00000000">
        <w:rPr>
          <w:sz w:val="22"/>
          <w:szCs w:val="22"/>
          <w:rtl w:val="0"/>
        </w:rPr>
        <w:t xml:space="preserve">These differences in the overall number of coders and the number of coders who responded to subnational questions provide a relevant measure of “attrition” which can be used to </w:t>
      </w:r>
      <w:sdt>
        <w:sdtPr>
          <w:tag w:val="goog_rdk_7"/>
        </w:sdtPr>
        <w:sdtContent>
          <w:commentRangeStart w:id="7"/>
        </w:sdtContent>
      </w:sdt>
      <w:sdt>
        <w:sdtPr>
          <w:tag w:val="goog_rdk_8"/>
        </w:sdtPr>
        <w:sdtContent>
          <w:commentRangeStart w:id="8"/>
        </w:sdtContent>
      </w:sdt>
      <w:sdt>
        <w:sdtPr>
          <w:tag w:val="goog_rdk_9"/>
        </w:sdtPr>
        <w:sdtContent>
          <w:commentRangeStart w:id="9"/>
        </w:sdtContent>
      </w:sdt>
      <w:r w:rsidDel="00000000" w:rsidR="00000000" w:rsidRPr="00000000">
        <w:rPr>
          <w:sz w:val="22"/>
          <w:szCs w:val="22"/>
          <w:rtl w:val="0"/>
        </w:rPr>
        <w:t xml:space="preserve">calculate weights for the relative importance of the criteria for a given year</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sz w:val="22"/>
          <w:szCs w:val="22"/>
          <w:rtl w:val="0"/>
        </w:rPr>
        <w:t xml:space="preserve">. For example, in Colombia for 2018, the number of respondents for each subnational survey question and maximum number for all other survey questions in the survey were as follows:</w:t>
      </w:r>
    </w:p>
    <w:p w:rsidR="00000000" w:rsidDel="00000000" w:rsidP="00000000" w:rsidRDefault="00000000" w:rsidRPr="00000000" w14:paraId="000000A2">
      <w:pPr>
        <w:numPr>
          <w:ilvl w:val="0"/>
          <w:numId w:val="3"/>
        </w:numPr>
        <w:spacing w:after="0" w:afterAutospacing="0" w:line="259" w:lineRule="auto"/>
        <w:ind w:left="720" w:hanging="360"/>
        <w:rPr>
          <w:sz w:val="22"/>
          <w:szCs w:val="22"/>
          <w:u w:val="none"/>
        </w:rPr>
      </w:pPr>
      <w:r w:rsidDel="00000000" w:rsidR="00000000" w:rsidRPr="00000000">
        <w:rPr>
          <w:sz w:val="22"/>
          <w:szCs w:val="22"/>
          <w:rtl w:val="0"/>
        </w:rPr>
        <w:t xml:space="preserve">Elections less free and fair: 8 over 13 maximum coders</w:t>
      </w:r>
    </w:p>
    <w:p w:rsidR="00000000" w:rsidDel="00000000" w:rsidP="00000000" w:rsidRDefault="00000000" w:rsidRPr="00000000" w14:paraId="000000A3">
      <w:pPr>
        <w:numPr>
          <w:ilvl w:val="0"/>
          <w:numId w:val="3"/>
        </w:numPr>
        <w:spacing w:after="0" w:afterAutospacing="0" w:line="259" w:lineRule="auto"/>
        <w:ind w:left="720" w:hanging="360"/>
        <w:rPr>
          <w:sz w:val="22"/>
          <w:szCs w:val="22"/>
          <w:u w:val="none"/>
        </w:rPr>
      </w:pPr>
      <w:r w:rsidDel="00000000" w:rsidR="00000000" w:rsidRPr="00000000">
        <w:rPr>
          <w:sz w:val="22"/>
          <w:szCs w:val="22"/>
          <w:rtl w:val="0"/>
        </w:rPr>
        <w:t xml:space="preserve">Elections more free and fair: 9 over 13 maximum coders</w:t>
      </w:r>
    </w:p>
    <w:p w:rsidR="00000000" w:rsidDel="00000000" w:rsidP="00000000" w:rsidRDefault="00000000" w:rsidRPr="00000000" w14:paraId="000000A4">
      <w:pPr>
        <w:numPr>
          <w:ilvl w:val="0"/>
          <w:numId w:val="3"/>
        </w:numPr>
        <w:spacing w:after="0" w:afterAutospacing="0" w:line="259" w:lineRule="auto"/>
        <w:ind w:left="720" w:hanging="360"/>
        <w:rPr>
          <w:sz w:val="22"/>
          <w:szCs w:val="22"/>
          <w:u w:val="none"/>
        </w:rPr>
      </w:pPr>
      <w:r w:rsidDel="00000000" w:rsidR="00000000" w:rsidRPr="00000000">
        <w:rPr>
          <w:sz w:val="22"/>
          <w:szCs w:val="22"/>
          <w:rtl w:val="0"/>
        </w:rPr>
        <w:t xml:space="preserve">Civil liberties stronger: 9 over 10 maximum coders</w:t>
      </w:r>
    </w:p>
    <w:p w:rsidR="00000000" w:rsidDel="00000000" w:rsidP="00000000" w:rsidRDefault="00000000" w:rsidRPr="00000000" w14:paraId="000000A5">
      <w:pPr>
        <w:numPr>
          <w:ilvl w:val="0"/>
          <w:numId w:val="3"/>
        </w:numPr>
        <w:spacing w:after="342" w:lineRule="auto"/>
        <w:ind w:left="720" w:hanging="360"/>
        <w:rPr>
          <w:sz w:val="22"/>
          <w:szCs w:val="22"/>
          <w:u w:val="none"/>
        </w:rPr>
      </w:pPr>
      <w:r w:rsidDel="00000000" w:rsidR="00000000" w:rsidRPr="00000000">
        <w:rPr>
          <w:sz w:val="22"/>
          <w:szCs w:val="22"/>
          <w:rtl w:val="0"/>
        </w:rPr>
        <w:t xml:space="preserve">Civil liberties weaker: 10 over 10 maximum coders</w:t>
      </w:r>
    </w:p>
    <w:p w:rsidR="00000000" w:rsidDel="00000000" w:rsidP="00000000" w:rsidRDefault="00000000" w:rsidRPr="00000000" w14:paraId="000000A6">
      <w:pPr>
        <w:spacing w:after="114" w:lineRule="auto"/>
        <w:ind w:left="-5" w:firstLine="0"/>
        <w:rPr>
          <w:sz w:val="22"/>
          <w:szCs w:val="22"/>
        </w:rPr>
      </w:pPr>
      <w:r w:rsidDel="00000000" w:rsidR="00000000" w:rsidRPr="00000000">
        <w:rPr>
          <w:sz w:val="22"/>
          <w:szCs w:val="22"/>
          <w:rtl w:val="0"/>
        </w:rPr>
        <w:t xml:space="preserve">These proportional values can provide weights when operationalizing the criteria from each survey, and therefore provide more valid estimates of the composite score for subnational democracy based on coder-level information. For example, the weights for responses to Elections less free and fair will be lower than those for Civil liberties weaker. The resulting scores for Colombian municipalities in 2018 therefore will include a higher weight for Civil society weakness than for Elections less free and fair.</w:t>
      </w:r>
    </w:p>
    <w:p w:rsidR="00000000" w:rsidDel="00000000" w:rsidP="00000000" w:rsidRDefault="00000000" w:rsidRPr="00000000" w14:paraId="000000A7">
      <w:pPr>
        <w:spacing w:after="615" w:lineRule="auto"/>
        <w:ind w:left="-5" w:firstLine="0"/>
        <w:rPr>
          <w:sz w:val="22"/>
          <w:szCs w:val="22"/>
        </w:rPr>
      </w:pPr>
      <w:r w:rsidDel="00000000" w:rsidR="00000000" w:rsidRPr="00000000">
        <w:rPr>
          <w:sz w:val="22"/>
          <w:szCs w:val="22"/>
          <w:rtl w:val="0"/>
        </w:rPr>
        <w:t xml:space="preserve">Additional analysis of coder-level behavior may inform the weighting procedure further. For example, bridge coders recruited in the 2000s may explain the escalation in differences between coders in national versus subnational-level questions. Bridge coders typically code more than one country, but may be hesitant to respond to subnational-level questions, particularly if they reside outside of the country under analysis. Controlling for bridge coders would lead to different weighted estimates of subnational democracy. Another exercise could include comparing individual coder behavior by year: some individuals may be more prone to attrition during a certain period, such as 2005-2012, compared to those just in that period.</w:t>
      </w:r>
    </w:p>
    <w:p w:rsidR="00000000" w:rsidDel="00000000" w:rsidP="00000000" w:rsidRDefault="00000000" w:rsidRPr="00000000" w14:paraId="000000A8">
      <w:pPr>
        <w:pStyle w:val="Heading1"/>
        <w:numPr>
          <w:ilvl w:val="0"/>
          <w:numId w:val="4"/>
        </w:numPr>
        <w:ind w:left="433" w:hanging="448"/>
        <w:rPr>
          <w:sz w:val="31"/>
          <w:szCs w:val="31"/>
        </w:rPr>
      </w:pPr>
      <w:r w:rsidDel="00000000" w:rsidR="00000000" w:rsidRPr="00000000">
        <w:rPr>
          <w:sz w:val="31"/>
          <w:szCs w:val="31"/>
          <w:rtl w:val="0"/>
        </w:rPr>
        <w:t xml:space="preserve">Selection of indicators and measurement</w:t>
      </w:r>
    </w:p>
    <w:p w:rsidR="00000000" w:rsidDel="00000000" w:rsidP="00000000" w:rsidRDefault="00000000" w:rsidRPr="00000000" w14:paraId="000000A9">
      <w:pPr>
        <w:spacing w:after="112" w:lineRule="auto"/>
        <w:ind w:left="-5" w:firstLine="0"/>
        <w:rPr>
          <w:sz w:val="22"/>
          <w:szCs w:val="22"/>
        </w:rPr>
      </w:pPr>
      <w:r w:rsidDel="00000000" w:rsidR="00000000" w:rsidRPr="00000000">
        <w:rPr>
          <w:sz w:val="22"/>
          <w:szCs w:val="22"/>
          <w:rtl w:val="0"/>
        </w:rPr>
        <w:t xml:space="preserve">In order to operationalize V-Dem criteria for a subnational context, we choose a specific indicator – from official state data or others’ scholarly research – to measure them. For each indicator, we either choose a threshold to represent the binary concept of whether the criterion applies to a location or not; or we redefine the concept to be continuous so that it can measure the degree to which each location satisfies the criterion. Some indicators work well as matters of degree: income, population density, strength of the ruling party, etc. We prefer the continuous criteria where possible. Other criteria are probably best left binary, such as the categories of North, South, East, and West – although even these could be measured as fuzzy sets.</w:t>
      </w:r>
    </w:p>
    <w:p w:rsidR="00000000" w:rsidDel="00000000" w:rsidP="00000000" w:rsidRDefault="00000000" w:rsidRPr="00000000" w14:paraId="000000AA">
      <w:pPr>
        <w:ind w:left="-5" w:firstLine="0"/>
        <w:rPr>
          <w:sz w:val="22"/>
          <w:szCs w:val="22"/>
        </w:rPr>
      </w:pPr>
      <w:r w:rsidDel="00000000" w:rsidR="00000000" w:rsidRPr="00000000">
        <w:rPr>
          <w:sz w:val="22"/>
          <w:szCs w:val="22"/>
          <w:rtl w:val="0"/>
        </w:rPr>
        <w:t xml:space="preserve">We then multiply the two kinds of data–the degree to which experts agree that a criterion is relevant, and the degree to which the criterion applies to each location–to construct summary measures of more, or less, free and fair elections and stronger or weaker protections for civil liberties for each subnational unit. Getting to this stage makes it possible to map these summary measures as choropleths.</w:t>
      </w:r>
    </w:p>
    <w:p w:rsidR="00000000" w:rsidDel="00000000" w:rsidP="00000000" w:rsidRDefault="00000000" w:rsidRPr="00000000" w14:paraId="000000AB">
      <w:pPr>
        <w:spacing w:after="460" w:lineRule="auto"/>
        <w:ind w:left="-5" w:firstLine="0"/>
        <w:rPr>
          <w:sz w:val="22"/>
          <w:szCs w:val="22"/>
        </w:rPr>
      </w:pPr>
      <w:r w:rsidDel="00000000" w:rsidR="00000000" w:rsidRPr="00000000">
        <w:rPr>
          <w:sz w:val="22"/>
          <w:szCs w:val="22"/>
          <w:rtl w:val="0"/>
        </w:rPr>
        <w:t xml:space="preserve">In the following subsections, we justify our choices of indicators for the discriminating criteria and explain why we treat each one as binary or continuous, and how we transform them. We measure each criterion (whether binary or continuous) on a 0-1 scale so that they get equal weight with expert agreement, and so that products for each criterion will be on a 0-1 scale for later aggregation with other criteria.</w:t>
      </w:r>
    </w:p>
    <w:p w:rsidR="00000000" w:rsidDel="00000000" w:rsidP="00000000" w:rsidRDefault="00000000" w:rsidRPr="00000000" w14:paraId="000000AC">
      <w:pPr>
        <w:pStyle w:val="Heading2"/>
        <w:numPr>
          <w:ilvl w:val="1"/>
          <w:numId w:val="4"/>
        </w:numPr>
        <w:ind w:left="568" w:hanging="583"/>
        <w:rPr>
          <w:sz w:val="26"/>
          <w:szCs w:val="26"/>
        </w:rPr>
      </w:pPr>
      <w:sdt>
        <w:sdtPr>
          <w:tag w:val="goog_rdk_10"/>
        </w:sdtPr>
        <w:sdtContent>
          <w:commentRangeStart w:id="10"/>
        </w:sdtContent>
      </w:sdt>
      <w:r w:rsidDel="00000000" w:rsidR="00000000" w:rsidRPr="00000000">
        <w:rPr>
          <w:sz w:val="26"/>
          <w:szCs w:val="26"/>
          <w:rtl w:val="0"/>
        </w:rPr>
        <w:t xml:space="preserve">Criteria #0-1: Rurality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D">
      <w:pPr>
        <w:spacing w:after="114" w:lineRule="auto"/>
        <w:ind w:left="-5" w:firstLine="0"/>
        <w:rPr>
          <w:sz w:val="22"/>
          <w:szCs w:val="22"/>
        </w:rPr>
      </w:pPr>
      <w:r w:rsidDel="00000000" w:rsidR="00000000" w:rsidRPr="00000000">
        <w:rPr>
          <w:sz w:val="22"/>
          <w:szCs w:val="22"/>
          <w:rtl w:val="0"/>
        </w:rPr>
        <w:t xml:space="preserve">The survey asks about elections and civil liberties in rural or urban locations. V-Dem scores for these survey variables reflect the proportion of respondents who selected rural, urban, or both categories to describe election fairness and civil liberties.</w:t>
      </w:r>
    </w:p>
    <w:p w:rsidR="00000000" w:rsidDel="00000000" w:rsidP="00000000" w:rsidRDefault="00000000" w:rsidRPr="00000000" w14:paraId="000000AE">
      <w:pPr>
        <w:spacing w:after="110" w:lineRule="auto"/>
        <w:ind w:left="-5" w:firstLine="0"/>
        <w:rPr>
          <w:sz w:val="22"/>
          <w:szCs w:val="22"/>
        </w:rPr>
      </w:pPr>
      <w:r w:rsidDel="00000000" w:rsidR="00000000" w:rsidRPr="00000000">
        <w:rPr>
          <w:sz w:val="22"/>
          <w:szCs w:val="22"/>
          <w:rtl w:val="0"/>
        </w:rPr>
        <w:t xml:space="preserve">Rurality or urbanization can be measured in many ways. The World Bank’s </w:t>
      </w:r>
      <w:hyperlink r:id="rId16">
        <w:r w:rsidDel="00000000" w:rsidR="00000000" w:rsidRPr="00000000">
          <w:rPr>
            <w:color w:val="0000ff"/>
            <w:sz w:val="22"/>
            <w:szCs w:val="22"/>
            <w:rtl w:val="0"/>
          </w:rPr>
          <w:t xml:space="preserve">Rural Access Index (RAI) </w:t>
        </w:r>
      </w:hyperlink>
      <w:r w:rsidDel="00000000" w:rsidR="00000000" w:rsidRPr="00000000">
        <w:rPr>
          <w:sz w:val="22"/>
          <w:szCs w:val="22"/>
          <w:rtl w:val="0"/>
        </w:rPr>
        <w:t xml:space="preserve">or European Commission’s </w:t>
      </w:r>
      <w:hyperlink r:id="rId17">
        <w:r w:rsidDel="00000000" w:rsidR="00000000" w:rsidRPr="00000000">
          <w:rPr>
            <w:color w:val="0000ff"/>
            <w:sz w:val="22"/>
            <w:szCs w:val="22"/>
            <w:rtl w:val="0"/>
          </w:rPr>
          <w:t xml:space="preserve">Global Human Settlement Layer (GHSL)</w:t>
        </w:r>
      </w:hyperlink>
      <w:r w:rsidDel="00000000" w:rsidR="00000000" w:rsidRPr="00000000">
        <w:rPr>
          <w:color w:val="0000ff"/>
          <w:sz w:val="22"/>
          <w:szCs w:val="22"/>
          <w:rtl w:val="0"/>
        </w:rPr>
        <w:t xml:space="preserve"> </w:t>
      </w:r>
      <w:r w:rsidDel="00000000" w:rsidR="00000000" w:rsidRPr="00000000">
        <w:rPr>
          <w:sz w:val="22"/>
          <w:szCs w:val="22"/>
          <w:rtl w:val="0"/>
        </w:rPr>
        <w:t xml:space="preserve">are exemplary GIS-based approaches. </w:t>
      </w:r>
      <w:hyperlink r:id="rId18">
        <w:r w:rsidDel="00000000" w:rsidR="00000000" w:rsidRPr="00000000">
          <w:rPr>
            <w:color w:val="0000ff"/>
            <w:sz w:val="22"/>
            <w:szCs w:val="22"/>
            <w:rtl w:val="0"/>
          </w:rPr>
          <w:t xml:space="preserve">Waldorf and Kim (2015)</w:t>
        </w:r>
      </w:hyperlink>
      <w:r w:rsidDel="00000000" w:rsidR="00000000" w:rsidRPr="00000000">
        <w:rPr>
          <w:color w:val="0000ff"/>
          <w:sz w:val="22"/>
          <w:szCs w:val="22"/>
          <w:rtl w:val="0"/>
        </w:rPr>
        <w:t xml:space="preserve"> </w:t>
      </w:r>
      <w:r w:rsidDel="00000000" w:rsidR="00000000" w:rsidRPr="00000000">
        <w:rPr>
          <w:sz w:val="22"/>
          <w:szCs w:val="22"/>
          <w:rtl w:val="0"/>
        </w:rPr>
        <w:t xml:space="preserve">create an index that considers population size, density, remoteness, and built-up areas. In Colombia, </w:t>
      </w:r>
      <w:hyperlink r:id="rId19">
        <w:r w:rsidDel="00000000" w:rsidR="00000000" w:rsidRPr="00000000">
          <w:rPr>
            <w:color w:val="0000ff"/>
            <w:sz w:val="22"/>
            <w:szCs w:val="22"/>
            <w:rtl w:val="0"/>
          </w:rPr>
          <w:t xml:space="preserve">DANE (2015)</w:t>
        </w:r>
      </w:hyperlink>
      <w:r w:rsidDel="00000000" w:rsidR="00000000" w:rsidRPr="00000000">
        <w:rPr>
          <w:color w:val="0000ff"/>
          <w:sz w:val="22"/>
          <w:szCs w:val="22"/>
          <w:rtl w:val="0"/>
        </w:rPr>
        <w:t xml:space="preserve"> </w:t>
      </w:r>
      <w:r w:rsidDel="00000000" w:rsidR="00000000" w:rsidRPr="00000000">
        <w:rPr>
          <w:sz w:val="22"/>
          <w:szCs w:val="22"/>
          <w:rtl w:val="0"/>
        </w:rPr>
        <w:t xml:space="preserve">uses a classification based on OECD criteria that defines rural territories as those with 150 or fewer persons per kilometer squared (𝑘𝑚</w:t>
      </w:r>
      <w:r w:rsidDel="00000000" w:rsidR="00000000" w:rsidRPr="00000000">
        <w:rPr>
          <w:sz w:val="22"/>
          <w:szCs w:val="22"/>
          <w:vertAlign w:val="superscript"/>
          <w:rtl w:val="0"/>
        </w:rPr>
        <w:t xml:space="preserve">2</w:t>
      </w:r>
      <w:r w:rsidDel="00000000" w:rsidR="00000000" w:rsidRPr="00000000">
        <w:rPr>
          <w:sz w:val="22"/>
          <w:szCs w:val="22"/>
          <w:rtl w:val="0"/>
        </w:rPr>
        <w:t xml:space="preserve">), finding that over 75% of Colombian municipalities do not meet the threshold of 100 persons per 𝑘𝑚</w:t>
      </w:r>
      <w:r w:rsidDel="00000000" w:rsidR="00000000" w:rsidRPr="00000000">
        <w:rPr>
          <w:sz w:val="22"/>
          <w:szCs w:val="22"/>
          <w:vertAlign w:val="superscript"/>
          <w:rtl w:val="0"/>
        </w:rPr>
        <w:t xml:space="preserve">2</w:t>
      </w:r>
      <w:r w:rsidDel="00000000" w:rsidR="00000000" w:rsidRPr="00000000">
        <w:rPr>
          <w:sz w:val="22"/>
          <w:szCs w:val="22"/>
          <w:rtl w:val="0"/>
        </w:rPr>
        <w:t xml:space="preserve">. From another perspective, DANE estimates that close to 4/5 of the population lives in urban centers.</w:t>
      </w:r>
    </w:p>
    <w:p w:rsidR="00000000" w:rsidDel="00000000" w:rsidP="00000000" w:rsidRDefault="00000000" w:rsidRPr="00000000" w14:paraId="000000AF">
      <w:pPr>
        <w:spacing w:after="112" w:lineRule="auto"/>
        <w:ind w:left="-5" w:firstLine="0"/>
        <w:rPr>
          <w:sz w:val="22"/>
          <w:szCs w:val="22"/>
        </w:rPr>
      </w:pPr>
      <w:r w:rsidDel="00000000" w:rsidR="00000000" w:rsidRPr="00000000">
        <w:rPr>
          <w:sz w:val="22"/>
          <w:szCs w:val="22"/>
          <w:rtl w:val="0"/>
        </w:rPr>
        <w:t xml:space="preserve">In this exercise, we take a demographic approach that considers the proportion of the municipal rural population over the total municipal population. This basic “Rurality Index” measure has a few advantages. First, it was created by the Economics Center for Development and Economy (CEDE) at Universidad de Los Andes, using official Census data from DANE. Second, this proportional measure provides a continuous scale of municipal rurality that can be can be interacted with the V-Dem score proportions for the first two variables. We demonstrate this process below.</w:t>
      </w:r>
    </w:p>
    <w:p w:rsidR="00000000" w:rsidDel="00000000" w:rsidP="00000000" w:rsidRDefault="00000000" w:rsidRPr="00000000" w14:paraId="000000B0">
      <w:pPr>
        <w:spacing w:after="112" w:lineRule="auto"/>
        <w:ind w:left="-5" w:firstLine="0"/>
        <w:rPr>
          <w:sz w:val="22"/>
          <w:szCs w:val="22"/>
        </w:rPr>
      </w:pPr>
      <w:r w:rsidDel="00000000" w:rsidR="00000000" w:rsidRPr="00000000">
        <w:rPr>
          <w:sz w:val="22"/>
          <w:szCs w:val="22"/>
          <w:rtl w:val="0"/>
        </w:rPr>
        <w:t xml:space="preserve">We can merge the rurality index with V-Dem scores in at least two ways. One option is to create a threshold for rural places and assign V-Dem scores accordingly. For example, we could take the mid-point as a threshold for rural and urban municipalities: if more than half of the population is considered rural inhabitants, then the municipality is considered rural. This method provides a first cut, and may be more intuitive to interpret. On the other hand, this approach involves the setting of arbitrary thresholds that may produce misleading results, especially given the cases grouped around the threshold.</w:t>
      </w:r>
    </w:p>
    <w:p w:rsidR="00000000" w:rsidDel="00000000" w:rsidP="00000000" w:rsidRDefault="00000000" w:rsidRPr="00000000" w14:paraId="000000B1">
      <w:pPr>
        <w:ind w:left="-5" w:firstLine="0"/>
        <w:rPr>
          <w:sz w:val="22"/>
          <w:szCs w:val="22"/>
        </w:rPr>
      </w:pPr>
      <w:r w:rsidDel="00000000" w:rsidR="00000000" w:rsidRPr="00000000">
        <w:rPr>
          <w:sz w:val="22"/>
          <w:szCs w:val="22"/>
          <w:rtl w:val="0"/>
        </w:rPr>
        <w:t xml:space="preserve">Another option is to interact the rurality index with V-Dem scores and preserve the continuous nature of the data. We call this the Cumulative Distribution Function (CDF) approach because it creates a normalized value for the variable that can be interacted with V-Dem scores systematically. The CDF approach provides much more detail than the threshold approach, which can only provide a simple visualization of areas categorized as rural. At the same time, the CDF approach creates a new continuous measure that is less straightforward to interpret. The benefit of using this variable, however, is that it provides a granular and demographically informed estimate of the association between rurality and less free and fair elections. Because it is a normalized measure, this new estimate can be compared with the normalized values for other responses, resulting in a municipal-level estimate based on V-Dem experts’ assessments of the background concept’s relevance.</w:t>
      </w:r>
    </w:p>
    <w:p w:rsidR="00000000" w:rsidDel="00000000" w:rsidP="00000000" w:rsidRDefault="00000000" w:rsidRPr="00000000" w14:paraId="000000B2">
      <w:pPr>
        <w:spacing w:after="586" w:lineRule="auto"/>
        <w:ind w:left="-5" w:firstLine="0"/>
        <w:rPr>
          <w:sz w:val="22"/>
          <w:szCs w:val="22"/>
        </w:rPr>
      </w:pPr>
      <w:r w:rsidDel="00000000" w:rsidR="00000000" w:rsidRPr="00000000">
        <w:rPr>
          <w:sz w:val="22"/>
          <w:szCs w:val="22"/>
          <w:rtl w:val="0"/>
        </w:rPr>
        <w:t xml:space="preserve">Of course, these composite municipal-level scores are heavily skewed by how the concept is systematized. In this example, we used a demographic measure–the rurality index–that relies on Census-defined parameters of what constitutes a rural inhabitant or not. Census measures may vary across countries, so the use of this measure may limit its use for cross-national comparative analysis. Nonetheless, as opposed to the threshold approach, the CDF approach takes advantage of the continuous nature of available data. Robustness checks using other continuous measures of rurality or urbanization would provide more confidence in the CDF approach going forward.</w:t>
      </w:r>
    </w:p>
    <w:p w:rsidR="00000000" w:rsidDel="00000000" w:rsidP="00000000" w:rsidRDefault="00000000" w:rsidRPr="00000000" w14:paraId="000000B3">
      <w:pPr>
        <w:pStyle w:val="Heading1"/>
        <w:numPr>
          <w:ilvl w:val="0"/>
          <w:numId w:val="4"/>
        </w:numPr>
        <w:ind w:left="433" w:hanging="448"/>
        <w:rPr>
          <w:sz w:val="31"/>
          <w:szCs w:val="31"/>
        </w:rPr>
      </w:pPr>
      <w:r w:rsidDel="00000000" w:rsidR="00000000" w:rsidRPr="00000000">
        <w:rPr>
          <w:sz w:val="31"/>
          <w:szCs w:val="31"/>
          <w:rtl w:val="0"/>
        </w:rPr>
        <w:t xml:space="preserve">Data reduction</w:t>
      </w:r>
    </w:p>
    <w:p w:rsidR="00000000" w:rsidDel="00000000" w:rsidP="00000000" w:rsidRDefault="00000000" w:rsidRPr="00000000" w14:paraId="000000B4">
      <w:pPr>
        <w:spacing w:after="217" w:lineRule="auto"/>
        <w:ind w:left="-5" w:firstLine="0"/>
        <w:rPr>
          <w:sz w:val="22"/>
          <w:szCs w:val="22"/>
        </w:rPr>
      </w:pPr>
      <w:r w:rsidDel="00000000" w:rsidR="00000000" w:rsidRPr="00000000">
        <w:rPr>
          <w:sz w:val="22"/>
          <w:szCs w:val="22"/>
          <w:rtl w:val="0"/>
        </w:rPr>
        <w:t xml:space="preserve">In order to make a legible map of subnational democracy, we must combine the measures for each criterion with the coder-level V-Dem data. At this stage, overlapping criteria could be an advantage if they are treated as substitutable, and therefore aggregated with an additive or weighted average formula (Goertz 2006). </w:t>
      </w:r>
      <w:sdt>
        <w:sdtPr>
          <w:tag w:val="goog_rdk_11"/>
        </w:sdtPr>
        <w:sdtContent>
          <w:commentRangeStart w:id="11"/>
        </w:sdtContent>
      </w:sdt>
      <w:r w:rsidDel="00000000" w:rsidR="00000000" w:rsidRPr="00000000">
        <w:rPr>
          <w:sz w:val="22"/>
          <w:szCs w:val="22"/>
          <w:rtl w:val="0"/>
        </w:rPr>
        <w:t xml:space="preserve">We use these variables to create factor scores for each municipal unit.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5">
      <w:pPr>
        <w:pStyle w:val="Heading2"/>
        <w:numPr>
          <w:ilvl w:val="1"/>
          <w:numId w:val="4"/>
        </w:numPr>
        <w:ind w:left="568" w:hanging="583"/>
        <w:rPr>
          <w:sz w:val="26"/>
          <w:szCs w:val="26"/>
        </w:rPr>
      </w:pPr>
      <w:r w:rsidDel="00000000" w:rsidR="00000000" w:rsidRPr="00000000">
        <w:rPr>
          <w:sz w:val="26"/>
          <w:szCs w:val="26"/>
          <w:rtl w:val="0"/>
        </w:rPr>
        <w:t xml:space="preserve">Factor analysis of external data</w:t>
      </w:r>
    </w:p>
    <w:p w:rsidR="00000000" w:rsidDel="00000000" w:rsidP="00000000" w:rsidRDefault="00000000" w:rsidRPr="00000000" w14:paraId="000000B6">
      <w:pPr>
        <w:ind w:left="0"/>
        <w:rPr>
          <w:sz w:val="22"/>
          <w:szCs w:val="22"/>
        </w:rPr>
      </w:pPr>
      <w:r w:rsidDel="00000000" w:rsidR="00000000" w:rsidRPr="00000000">
        <w:rPr>
          <w:sz w:val="22"/>
          <w:szCs w:val="22"/>
          <w:rtl w:val="0"/>
        </w:rPr>
        <w:t xml:space="preserve">Using the data collected for each criterion, we can reduce the data by running a factor analysis, which yields factor or component weights based on the commonalities among our criteria. These techniques can also evaluate whether it makes sense to treat all these criteria as unidimensional. If it does not, then we would do well to generate multiple indices that measure somewhat independent dimensions of democracy.</w:t>
      </w:r>
    </w:p>
    <w:p w:rsidR="00000000" w:rsidDel="00000000" w:rsidP="00000000" w:rsidRDefault="00000000" w:rsidRPr="00000000" w14:paraId="000000B7">
      <w:pPr>
        <w:ind w:left="0"/>
        <w:rPr>
          <w:sz w:val="22"/>
          <w:szCs w:val="22"/>
        </w:rPr>
      </w:pPr>
      <w:r w:rsidDel="00000000" w:rsidR="00000000" w:rsidRPr="00000000">
        <w:rPr>
          <w:sz w:val="22"/>
          <w:szCs w:val="22"/>
          <w:rtl w:val="0"/>
        </w:rPr>
        <w:t xml:space="preserve">If it does, this would facilitate interaction of this information with V-Dem data in order to map granular measures of each survey question at the subnational unit level.</w:t>
      </w:r>
    </w:p>
    <w:p w:rsidR="00000000" w:rsidDel="00000000" w:rsidP="00000000" w:rsidRDefault="00000000" w:rsidRPr="00000000" w14:paraId="000000B8">
      <w:pPr>
        <w:numPr>
          <w:ilvl w:val="0"/>
          <w:numId w:val="2"/>
        </w:numPr>
        <w:spacing w:after="0" w:afterAutospacing="0"/>
        <w:ind w:left="720" w:hanging="360"/>
        <w:rPr>
          <w:sz w:val="22"/>
          <w:szCs w:val="22"/>
          <w:u w:val="none"/>
        </w:rPr>
      </w:pPr>
      <w:r w:rsidDel="00000000" w:rsidR="00000000" w:rsidRPr="00000000">
        <w:rPr>
          <w:sz w:val="22"/>
          <w:szCs w:val="22"/>
          <w:rtl w:val="0"/>
        </w:rPr>
        <w:t xml:space="preserve">this will tell us which variables can be combined to measure predictors of sn democracy</w:t>
      </w:r>
    </w:p>
    <w:p w:rsidR="00000000" w:rsidDel="00000000" w:rsidP="00000000" w:rsidRDefault="00000000" w:rsidRPr="00000000" w14:paraId="000000B9">
      <w:pPr>
        <w:numPr>
          <w:ilvl w:val="0"/>
          <w:numId w:val="2"/>
        </w:numPr>
        <w:spacing w:after="0" w:afterAutospacing="0"/>
        <w:ind w:left="720" w:hanging="360"/>
        <w:rPr>
          <w:sz w:val="22"/>
          <w:szCs w:val="22"/>
          <w:u w:val="none"/>
        </w:rPr>
      </w:pPr>
      <w:r w:rsidDel="00000000" w:rsidR="00000000" w:rsidRPr="00000000">
        <w:rPr>
          <w:sz w:val="22"/>
          <w:szCs w:val="22"/>
          <w:rtl w:val="0"/>
        </w:rPr>
        <w:t xml:space="preserve">V-Dem data used to </w:t>
      </w:r>
      <w:r w:rsidDel="00000000" w:rsidR="00000000" w:rsidRPr="00000000">
        <w:rPr>
          <w:rtl w:val="0"/>
        </w:rPr>
      </w:r>
    </w:p>
    <w:p w:rsidR="00000000" w:rsidDel="00000000" w:rsidP="00000000" w:rsidRDefault="00000000" w:rsidRPr="00000000" w14:paraId="000000BA">
      <w:pPr>
        <w:pStyle w:val="Heading2"/>
        <w:numPr>
          <w:ilvl w:val="1"/>
          <w:numId w:val="4"/>
        </w:numPr>
        <w:ind w:left="568" w:hanging="583"/>
        <w:rPr>
          <w:sz w:val="26"/>
          <w:szCs w:val="26"/>
        </w:rPr>
      </w:pPr>
      <w:r w:rsidDel="00000000" w:rsidR="00000000" w:rsidRPr="00000000">
        <w:rPr>
          <w:sz w:val="26"/>
          <w:szCs w:val="26"/>
          <w:rtl w:val="0"/>
        </w:rPr>
        <w:t xml:space="preserve">Combining factor scores with</w:t>
      </w:r>
      <w:sdt>
        <w:sdtPr>
          <w:tag w:val="goog_rdk_12"/>
        </w:sdtPr>
        <w:sdtContent>
          <w:commentRangeStart w:id="12"/>
        </w:sdtContent>
      </w:sdt>
      <w:sdt>
        <w:sdtPr>
          <w:tag w:val="goog_rdk_13"/>
        </w:sdtPr>
        <w:sdtContent>
          <w:commentRangeStart w:id="13"/>
        </w:sdtContent>
      </w:sdt>
      <w:r w:rsidDel="00000000" w:rsidR="00000000" w:rsidRPr="00000000">
        <w:rPr>
          <w:sz w:val="26"/>
          <w:szCs w:val="26"/>
          <w:rtl w:val="0"/>
        </w:rPr>
        <w:t xml:space="preserve"> survey questions to create a summary m</w:t>
      </w:r>
      <w:commentRangeEnd w:id="12"/>
      <w:r w:rsidDel="00000000" w:rsidR="00000000" w:rsidRPr="00000000">
        <w:commentReference w:id="12"/>
      </w:r>
      <w:commentRangeEnd w:id="13"/>
      <w:r w:rsidDel="00000000" w:rsidR="00000000" w:rsidRPr="00000000">
        <w:commentReference w:id="13"/>
      </w:r>
      <w:r w:rsidDel="00000000" w:rsidR="00000000" w:rsidRPr="00000000">
        <w:rPr>
          <w:sz w:val="26"/>
          <w:szCs w:val="26"/>
          <w:rtl w:val="0"/>
        </w:rPr>
        <w:t xml:space="preserve">ap</w:t>
      </w:r>
    </w:p>
    <w:p w:rsidR="00000000" w:rsidDel="00000000" w:rsidP="00000000" w:rsidRDefault="00000000" w:rsidRPr="00000000" w14:paraId="000000BB">
      <w:pPr>
        <w:spacing w:after="112" w:lineRule="auto"/>
        <w:ind w:left="-5" w:firstLine="0"/>
        <w:rPr>
          <w:sz w:val="22"/>
          <w:szCs w:val="22"/>
        </w:rPr>
      </w:pPr>
      <w:r w:rsidDel="00000000" w:rsidR="00000000" w:rsidRPr="00000000">
        <w:rPr>
          <w:sz w:val="22"/>
          <w:szCs w:val="22"/>
          <w:rtl w:val="0"/>
        </w:rPr>
        <w:t xml:space="preserve">We have operationalized the criteria in V-Dem surveys that are believed to correspond to demographic and political attributes affecting democracy at the subnational level. These indicators are certainly imperfect, as democracy is not a simple function of a single variable; it has many covariates. With several indicators in hand, it becomes possible to combine them into a more valid measure. Validity should be enhanced because if many covariates suggest that a location is democratic, then it probably is more democratic; if many covariates suggest that a location is undemocratic, then it is probably very much less democratic. If different covariates point in different directions, then most likely the location is closer to the middle of the distribution than to either extreme. The underlying logic is that strength on one criterion tends to compensate for weakness in another. This kind of relationship can be operationalized as a sum, an average, or a weighted average. Ideally we prefer weighted averages, as averages preserve the 0-1 range of values and weights employ a more relaxed assumption than “unweighted” averages, which actually enforce a strong assumption of equal weighting. Weights can be derived empirically via a data reduction technique such as factor or principal components analysis. </w:t>
      </w:r>
    </w:p>
    <w:p w:rsidR="00000000" w:rsidDel="00000000" w:rsidP="00000000" w:rsidRDefault="00000000" w:rsidRPr="00000000" w14:paraId="000000BC">
      <w:pPr>
        <w:spacing w:after="112" w:lineRule="auto"/>
        <w:ind w:left="-5" w:firstLine="0"/>
        <w:rPr>
          <w:sz w:val="22"/>
          <w:szCs w:val="22"/>
        </w:rPr>
      </w:pPr>
      <w:r w:rsidDel="00000000" w:rsidR="00000000" w:rsidRPr="00000000">
        <w:rPr>
          <w:rtl w:val="0"/>
        </w:rPr>
      </w:r>
    </w:p>
    <w:p w:rsidR="00000000" w:rsidDel="00000000" w:rsidP="00000000" w:rsidRDefault="00000000" w:rsidRPr="00000000" w14:paraId="000000BD">
      <w:pPr>
        <w:spacing w:after="112" w:lineRule="auto"/>
        <w:ind w:left="-5" w:firstLine="0"/>
        <w:rPr>
          <w:sz w:val="22"/>
          <w:szCs w:val="22"/>
        </w:rPr>
      </w:pPr>
      <w:r w:rsidDel="00000000" w:rsidR="00000000" w:rsidRPr="00000000">
        <w:rPr>
          <w:sz w:val="22"/>
          <w:szCs w:val="22"/>
          <w:rtl w:val="0"/>
        </w:rPr>
        <w:t xml:space="preserve">In Figure 6, the normalized data is aggregated to produce a summary index based on the averages for each survey question at the municipal-level. These aggregated scores provide an initial measure of operationalized concepts, revealing geographically located “pockets” of stronger or weaker V-Dem respondent confidence around subnational factors affecting subnational democracy in Colombia during 2018. </w:t>
      </w:r>
      <w:sdt>
        <w:sdtPr>
          <w:tag w:val="goog_rdk_14"/>
        </w:sdtPr>
        <w:sdtContent>
          <w:commentRangeStart w:id="14"/>
        </w:sdtContent>
      </w:sdt>
      <w:r w:rsidDel="00000000" w:rsidR="00000000" w:rsidRPr="00000000">
        <w:rPr>
          <w:sz w:val="22"/>
          <w:szCs w:val="22"/>
          <w:rtl w:val="0"/>
        </w:rPr>
        <w:t xml:space="preserve">The summary averages range from around 0-0.34: this signifies that the maximum level of confidence is around 1 in 3 coders who agree on subnational factors for democracy (at least for the factors considered above).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BE">
      <w:pPr>
        <w:pStyle w:val="Heading1"/>
        <w:numPr>
          <w:ilvl w:val="0"/>
          <w:numId w:val="4"/>
        </w:numPr>
        <w:ind w:left="433" w:hanging="448"/>
        <w:rPr>
          <w:sz w:val="31"/>
          <w:szCs w:val="31"/>
        </w:rPr>
      </w:pPr>
      <w:r w:rsidDel="00000000" w:rsidR="00000000" w:rsidRPr="00000000">
        <w:rPr>
          <w:sz w:val="31"/>
          <w:szCs w:val="31"/>
          <w:rtl w:val="0"/>
        </w:rPr>
        <w:t xml:space="preserve">Conclusion</w:t>
      </w:r>
    </w:p>
    <w:p w:rsidR="00000000" w:rsidDel="00000000" w:rsidP="00000000" w:rsidRDefault="00000000" w:rsidRPr="00000000" w14:paraId="000000BF">
      <w:pPr>
        <w:spacing w:after="112" w:lineRule="auto"/>
        <w:ind w:left="-5" w:firstLine="0"/>
        <w:rPr>
          <w:sz w:val="22"/>
          <w:szCs w:val="22"/>
        </w:rPr>
      </w:pPr>
      <w:r w:rsidDel="00000000" w:rsidR="00000000" w:rsidRPr="00000000">
        <w:rPr>
          <w:sz w:val="22"/>
          <w:szCs w:val="22"/>
          <w:rtl w:val="0"/>
        </w:rPr>
        <w:t xml:space="preserve">As noted previously, validation is a crucial step in producing data based on expert ratings. We have not yet been able to do a systematic validation of the data we have so far, but we have some observations about face validity based on the maps we have produced. In general, our data indicate higher levels of democracy (both in free and fair elections and in protections for civil liberties) in the major urban areas and lower levels in rural or remote areas such as the Amazon…. [To be fleshed out after we have a summary map.]</w:t>
      </w:r>
    </w:p>
    <w:p w:rsidR="00000000" w:rsidDel="00000000" w:rsidP="00000000" w:rsidRDefault="00000000" w:rsidRPr="00000000" w14:paraId="000000C0">
      <w:pPr>
        <w:spacing w:after="112" w:lineRule="auto"/>
        <w:ind w:left="-5" w:firstLine="0"/>
        <w:rPr>
          <w:sz w:val="22"/>
          <w:szCs w:val="22"/>
        </w:rPr>
      </w:pPr>
      <w:r w:rsidDel="00000000" w:rsidR="00000000" w:rsidRPr="00000000">
        <w:rPr>
          <w:sz w:val="22"/>
          <w:szCs w:val="22"/>
          <w:rtl w:val="0"/>
        </w:rPr>
        <w:t xml:space="preserve">Systematic validation will require comparisons with independent assessments of subnational democracy in Colombia. An initial source for such information will be responses to open-ended versions of V-Dem’s four questions provided by a small number of university and master’s students at a Colombian university in February 2024. They were asked to identify the most salient locations (defined any way they chose) in Colombia and years where they would expect valid indicators to show better or worse situations. We can check our data against their expectations. At some point we could solicit the same kinds of responses from a more senior panel of Colombian experts. Ultimately, the best kind of validation would be administering an online survey asking V-Dem’s country experts on Colombia to code these same questions for Colombian departments or municipalities for selected years. We do not know whether such an effort is feasible, but it is probably impossible to know until we try.</w:t>
      </w:r>
    </w:p>
    <w:p w:rsidR="00000000" w:rsidDel="00000000" w:rsidP="00000000" w:rsidRDefault="00000000" w:rsidRPr="00000000" w14:paraId="000000C1">
      <w:pPr>
        <w:spacing w:after="112" w:lineRule="auto"/>
        <w:ind w:left="-5" w:firstLine="0"/>
        <w:rPr>
          <w:sz w:val="22"/>
          <w:szCs w:val="22"/>
        </w:rPr>
      </w:pPr>
      <w:r w:rsidDel="00000000" w:rsidR="00000000" w:rsidRPr="00000000">
        <w:rPr>
          <w:sz w:val="22"/>
          <w:szCs w:val="22"/>
          <w:rtl w:val="0"/>
        </w:rPr>
        <w:t xml:space="preserve">Eventually we hope to extend this exercise to other countries where others have generated measures of subnational democracy, such as Argentina, Mexico, India, the United States, and Russia. We do not downplay the difficulty of such an effort. It requires access to very specific geo-coded data on multiple demographic and political indicators, which are probably not available for many countries. Furthermore, producing cross-nationally comparable data involves an additional layer of complication. The data we have produced for Colombia is relative: the degree to which local situations are better or worse than the national norm. Converting such relative data to absolute levels will require both anchoring the ratings to a national score and establishing the range of variation within which the relative scores can vary. V-Dem’s Clean Elections Index could serve as the anchor for the subnational elections variables and its Civil Liberties Index could serve as the anchor for the subnational civil liberties variables. The same anchoring indices could be used for other countries. However, we do not yet have a proposed solution for setting the range of variation around these anchors. This would require careful conceptual and methodological effort.</w:t>
      </w:r>
    </w:p>
    <w:p w:rsidR="00000000" w:rsidDel="00000000" w:rsidP="00000000" w:rsidRDefault="00000000" w:rsidRPr="00000000" w14:paraId="000000C2">
      <w:pPr>
        <w:spacing w:after="612" w:lineRule="auto"/>
        <w:ind w:left="-5" w:firstLine="0"/>
        <w:rPr>
          <w:sz w:val="22"/>
          <w:szCs w:val="22"/>
        </w:rPr>
      </w:pPr>
      <w:r w:rsidDel="00000000" w:rsidR="00000000" w:rsidRPr="00000000">
        <w:rPr>
          <w:sz w:val="22"/>
          <w:szCs w:val="22"/>
          <w:rtl w:val="0"/>
        </w:rPr>
        <w:t xml:space="preserve">Colombia is among the best cases for this initial proof-of-concept research due to the well-developed geographic data that DANE provides (and for which the Lucy Institute, where co-author Matthew Sisk works, has direct access). Replication in other countries would make it possible to reach more general conclusions about the validity of the technique and to decide whether it is promising enough to extend to many more countries. If results are encouraging, there may be a potential for extending of this technique to measure other political concepts subnationally.</w:t>
      </w:r>
    </w:p>
    <w:p w:rsidR="00000000" w:rsidDel="00000000" w:rsidP="00000000" w:rsidRDefault="00000000" w:rsidRPr="00000000" w14:paraId="000000C3">
      <w:pPr>
        <w:pStyle w:val="Heading1"/>
        <w:spacing w:after="237" w:lineRule="auto"/>
        <w:ind w:left="-5" w:firstLine="0"/>
        <w:rPr>
          <w:sz w:val="31"/>
          <w:szCs w:val="31"/>
        </w:rPr>
      </w:pPr>
      <w:r w:rsidDel="00000000" w:rsidR="00000000" w:rsidRPr="00000000">
        <w:rPr>
          <w:sz w:val="31"/>
          <w:szCs w:val="31"/>
          <w:rtl w:val="0"/>
        </w:rPr>
        <w:t xml:space="preserve">References</w:t>
      </w:r>
    </w:p>
    <w:p w:rsidR="00000000" w:rsidDel="00000000" w:rsidP="00000000" w:rsidRDefault="00000000" w:rsidRPr="00000000" w14:paraId="000000C4">
      <w:pPr>
        <w:ind w:left="284" w:hanging="299"/>
        <w:rPr>
          <w:sz w:val="22"/>
          <w:szCs w:val="22"/>
        </w:rPr>
      </w:pPr>
      <w:r w:rsidDel="00000000" w:rsidR="00000000" w:rsidRPr="00000000">
        <w:rPr>
          <w:sz w:val="22"/>
          <w:szCs w:val="22"/>
          <w:rtl w:val="0"/>
        </w:rPr>
        <w:t xml:space="preserve">Bernhard, Michael et al. 2017. “Making Embedded Knowledge Transparent: How the V-Dem Dataset Opens New Vistas in Civil Society Research.” </w:t>
      </w:r>
      <w:r w:rsidDel="00000000" w:rsidR="00000000" w:rsidRPr="00000000">
        <w:rPr>
          <w:i w:val="1"/>
          <w:sz w:val="22"/>
          <w:szCs w:val="22"/>
          <w:rtl w:val="0"/>
        </w:rPr>
        <w:t xml:space="preserve">Perspectives on Politics </w:t>
      </w:r>
      <w:r w:rsidDel="00000000" w:rsidR="00000000" w:rsidRPr="00000000">
        <w:rPr>
          <w:sz w:val="22"/>
          <w:szCs w:val="22"/>
          <w:rtl w:val="0"/>
        </w:rPr>
        <w:t xml:space="preserve">15(2): 342–360. </w:t>
      </w:r>
      <w:hyperlink r:id="rId20">
        <w:r w:rsidDel="00000000" w:rsidR="00000000" w:rsidRPr="00000000">
          <w:rPr>
            <w:color w:val="0000ff"/>
            <w:sz w:val="22"/>
            <w:szCs w:val="22"/>
            <w:rtl w:val="0"/>
          </w:rPr>
          <w:t xml:space="preserve">https://www.cambridge. org/core/product/identifier/S1537592717000056/type/journal_article</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C5">
      <w:pPr>
        <w:spacing w:after="155" w:lineRule="auto"/>
        <w:ind w:left="284" w:hanging="299"/>
        <w:rPr>
          <w:sz w:val="22"/>
          <w:szCs w:val="22"/>
        </w:rPr>
      </w:pPr>
      <w:r w:rsidDel="00000000" w:rsidR="00000000" w:rsidRPr="00000000">
        <w:rPr>
          <w:sz w:val="22"/>
          <w:szCs w:val="22"/>
          <w:rtl w:val="0"/>
        </w:rPr>
        <w:t xml:space="preserve">Bernhard, Michael, Timothy Nordstrom, and Christopher Reenock. 2001. “Economic Performance, Institutional Intermediation, and Democratic Survival.” </w:t>
      </w:r>
      <w:r w:rsidDel="00000000" w:rsidR="00000000" w:rsidRPr="00000000">
        <w:rPr>
          <w:i w:val="1"/>
          <w:sz w:val="22"/>
          <w:szCs w:val="22"/>
          <w:rtl w:val="0"/>
        </w:rPr>
        <w:t xml:space="preserve">The Journal of Politics </w:t>
      </w:r>
      <w:r w:rsidDel="00000000" w:rsidR="00000000" w:rsidRPr="00000000">
        <w:rPr>
          <w:sz w:val="22"/>
          <w:szCs w:val="22"/>
          <w:rtl w:val="0"/>
        </w:rPr>
        <w:t xml:space="preserve">63(3): 775–803. </w:t>
      </w:r>
      <w:hyperlink r:id="rId21">
        <w:r w:rsidDel="00000000" w:rsidR="00000000" w:rsidRPr="00000000">
          <w:rPr>
            <w:color w:val="0000ff"/>
            <w:sz w:val="22"/>
            <w:szCs w:val="22"/>
            <w:rtl w:val="0"/>
          </w:rPr>
          <w:t xml:space="preserve">https: //www.jstor.org/stable/2691713</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C6">
      <w:pPr>
        <w:spacing w:after="0" w:line="425" w:lineRule="auto"/>
        <w:ind w:left="294" w:right="-15" w:hanging="309"/>
        <w:jc w:val="left"/>
        <w:rPr>
          <w:sz w:val="22"/>
          <w:szCs w:val="22"/>
        </w:rPr>
      </w:pPr>
      <w:r w:rsidDel="00000000" w:rsidR="00000000" w:rsidRPr="00000000">
        <w:rPr>
          <w:sz w:val="22"/>
          <w:szCs w:val="22"/>
          <w:rtl w:val="0"/>
        </w:rPr>
        <w:t xml:space="preserve">Bertelsmann Stiftung, ed. 2005. </w:t>
      </w:r>
      <w:r w:rsidDel="00000000" w:rsidR="00000000" w:rsidRPr="00000000">
        <w:rPr>
          <w:i w:val="1"/>
          <w:sz w:val="22"/>
          <w:szCs w:val="22"/>
          <w:rtl w:val="0"/>
        </w:rPr>
        <w:t xml:space="preserve">Bertelsmann Transformation Index 2003: Towards democracy and a market economy</w:t>
      </w:r>
      <w:r w:rsidDel="00000000" w:rsidR="00000000" w:rsidRPr="00000000">
        <w:rPr>
          <w:sz w:val="22"/>
          <w:szCs w:val="22"/>
          <w:rtl w:val="0"/>
        </w:rPr>
        <w:t xml:space="preserve">. Gütersloh.</w:t>
      </w:r>
    </w:p>
    <w:p w:rsidR="00000000" w:rsidDel="00000000" w:rsidP="00000000" w:rsidRDefault="00000000" w:rsidRPr="00000000" w14:paraId="000000C7">
      <w:pPr>
        <w:ind w:left="284" w:hanging="299"/>
        <w:rPr>
          <w:sz w:val="22"/>
          <w:szCs w:val="22"/>
        </w:rPr>
      </w:pPr>
      <w:r w:rsidDel="00000000" w:rsidR="00000000" w:rsidRPr="00000000">
        <w:rPr>
          <w:sz w:val="22"/>
          <w:szCs w:val="22"/>
          <w:rtl w:val="0"/>
        </w:rPr>
        <w:t xml:space="preserve">Boix, Carles, Michael Miller, and Sebastian Rosato. 2013. “A Complete Data Set of Political Regimes, 1800–2007.” </w:t>
      </w:r>
      <w:r w:rsidDel="00000000" w:rsidR="00000000" w:rsidRPr="00000000">
        <w:rPr>
          <w:i w:val="1"/>
          <w:sz w:val="22"/>
          <w:szCs w:val="22"/>
          <w:rtl w:val="0"/>
        </w:rPr>
        <w:t xml:space="preserve">Comparative Political Studies </w:t>
      </w:r>
      <w:r w:rsidDel="00000000" w:rsidR="00000000" w:rsidRPr="00000000">
        <w:rPr>
          <w:sz w:val="22"/>
          <w:szCs w:val="22"/>
          <w:rtl w:val="0"/>
        </w:rPr>
        <w:t xml:space="preserve">46(12): 1523–1554. </w:t>
      </w:r>
      <w:hyperlink r:id="rId22">
        <w:r w:rsidDel="00000000" w:rsidR="00000000" w:rsidRPr="00000000">
          <w:rPr>
            <w:color w:val="0000ff"/>
            <w:sz w:val="22"/>
            <w:szCs w:val="22"/>
            <w:rtl w:val="0"/>
          </w:rPr>
          <w:t xml:space="preserve">http://journals.sagepub.com/doi/10. 1177/0010414012463905</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C8">
      <w:pPr>
        <w:spacing w:after="0" w:line="426" w:lineRule="auto"/>
        <w:ind w:left="299" w:hanging="299"/>
        <w:jc w:val="left"/>
        <w:rPr>
          <w:sz w:val="22"/>
          <w:szCs w:val="22"/>
        </w:rPr>
      </w:pPr>
      <w:r w:rsidDel="00000000" w:rsidR="00000000" w:rsidRPr="00000000">
        <w:rPr>
          <w:sz w:val="22"/>
          <w:szCs w:val="22"/>
          <w:rtl w:val="0"/>
        </w:rPr>
        <w:t xml:space="preserve">Bühlmann, Marc, Wolfgang Merkel, and Bernhard Wessels. 2008. </w:t>
      </w:r>
      <w:r w:rsidDel="00000000" w:rsidR="00000000" w:rsidRPr="00000000">
        <w:rPr>
          <w:i w:val="1"/>
          <w:sz w:val="22"/>
          <w:szCs w:val="22"/>
          <w:rtl w:val="0"/>
        </w:rPr>
        <w:t xml:space="preserve">The Quality of Democracy: Democracy Barometer for Established Democracies</w:t>
      </w:r>
      <w:r w:rsidDel="00000000" w:rsidR="00000000" w:rsidRPr="00000000">
        <w:rPr>
          <w:sz w:val="22"/>
          <w:szCs w:val="22"/>
          <w:rtl w:val="0"/>
        </w:rPr>
        <w:t xml:space="preserve">. Zurich: University of Zurich. Working Paper. </w:t>
      </w:r>
      <w:hyperlink r:id="rId23">
        <w:r w:rsidDel="00000000" w:rsidR="00000000" w:rsidRPr="00000000">
          <w:rPr>
            <w:color w:val="0000ff"/>
            <w:sz w:val="22"/>
            <w:szCs w:val="22"/>
            <w:rtl w:val="0"/>
          </w:rPr>
          <w:t xml:space="preserve">https://opus4. kobv.de/opus4-hsog/frontdoor/deliver/index/docId/80/file/520_hsog_wp_no._22.pdf</w:t>
        </w:r>
      </w:hyperlink>
      <w:r w:rsidDel="00000000" w:rsidR="00000000" w:rsidRPr="00000000">
        <w:rPr>
          <w:sz w:val="22"/>
          <w:szCs w:val="22"/>
          <w:rtl w:val="0"/>
        </w:rPr>
        <w:t xml:space="preserve">.</w:t>
      </w:r>
    </w:p>
    <w:p w:rsidR="00000000" w:rsidDel="00000000" w:rsidP="00000000" w:rsidRDefault="00000000" w:rsidRPr="00000000" w14:paraId="000000C9">
      <w:pPr>
        <w:ind w:left="284" w:hanging="299"/>
        <w:rPr>
          <w:sz w:val="22"/>
          <w:szCs w:val="22"/>
        </w:rPr>
      </w:pPr>
      <w:r w:rsidDel="00000000" w:rsidR="00000000" w:rsidRPr="00000000">
        <w:rPr>
          <w:sz w:val="22"/>
          <w:szCs w:val="22"/>
          <w:rtl w:val="0"/>
        </w:rPr>
        <w:t xml:space="preserve">Coppedge, Michael. 2012. </w:t>
      </w:r>
      <w:r w:rsidDel="00000000" w:rsidR="00000000" w:rsidRPr="00000000">
        <w:rPr>
          <w:i w:val="1"/>
          <w:sz w:val="22"/>
          <w:szCs w:val="22"/>
          <w:rtl w:val="0"/>
        </w:rPr>
        <w:t xml:space="preserve">Democratization and research methods</w:t>
      </w:r>
      <w:r w:rsidDel="00000000" w:rsidR="00000000" w:rsidRPr="00000000">
        <w:rPr>
          <w:sz w:val="22"/>
          <w:szCs w:val="22"/>
          <w:rtl w:val="0"/>
        </w:rPr>
        <w:t xml:space="preserve">. Cambridge ; New York: Cambridge University Press.</w:t>
      </w:r>
    </w:p>
    <w:p w:rsidR="00000000" w:rsidDel="00000000" w:rsidP="00000000" w:rsidRDefault="00000000" w:rsidRPr="00000000" w14:paraId="000000CA">
      <w:pPr>
        <w:tabs>
          <w:tab w:val="center" w:leader="none" w:pos="2649"/>
          <w:tab w:val="center" w:leader="none" w:pos="4070"/>
          <w:tab w:val="right" w:leader="none" w:pos="9360"/>
        </w:tabs>
        <w:spacing w:after="161" w:line="259" w:lineRule="auto"/>
        <w:ind w:left="-15" w:firstLine="0"/>
        <w:jc w:val="left"/>
        <w:rPr>
          <w:sz w:val="22"/>
          <w:szCs w:val="22"/>
        </w:rPr>
      </w:pPr>
      <w:r w:rsidDel="00000000" w:rsidR="00000000" w:rsidRPr="00000000">
        <w:rPr>
          <w:sz w:val="22"/>
          <w:szCs w:val="22"/>
          <w:rtl w:val="0"/>
        </w:rPr>
        <w:t xml:space="preserve">Coppedge, Michael et al.</w:t>
        <w:tab/>
        <w:t xml:space="preserve">2023.</w:t>
        <w:tab/>
        <w:t xml:space="preserve">“V-Dem Dataset V13.”</w:t>
        <w:tab/>
      </w:r>
      <w:hyperlink r:id="rId24">
        <w:r w:rsidDel="00000000" w:rsidR="00000000" w:rsidRPr="00000000">
          <w:rPr>
            <w:color w:val="0000ff"/>
            <w:sz w:val="22"/>
            <w:szCs w:val="22"/>
            <w:rtl w:val="0"/>
          </w:rPr>
          <w:t xml:space="preserve">https://www.v-dem.net/data/dataset-archive/</w:t>
        </w:r>
      </w:hyperlink>
      <w:r w:rsidDel="00000000" w:rsidR="00000000" w:rsidRPr="00000000">
        <w:rPr>
          <w:rtl w:val="0"/>
        </w:rPr>
      </w:r>
    </w:p>
    <w:p w:rsidR="00000000" w:rsidDel="00000000" w:rsidP="00000000" w:rsidRDefault="00000000" w:rsidRPr="00000000" w14:paraId="000000CB">
      <w:pPr>
        <w:spacing w:after="161" w:line="259" w:lineRule="auto"/>
        <w:ind w:left="309" w:firstLine="0"/>
        <w:rPr>
          <w:sz w:val="22"/>
          <w:szCs w:val="22"/>
        </w:rPr>
      </w:pPr>
      <w:r w:rsidDel="00000000" w:rsidR="00000000" w:rsidRPr="00000000">
        <w:rPr>
          <w:sz w:val="22"/>
          <w:szCs w:val="22"/>
          <w:rtl w:val="0"/>
        </w:rPr>
        <w:t xml:space="preserve">(Accessed April 5, 2024).</w:t>
      </w:r>
    </w:p>
    <w:p w:rsidR="00000000" w:rsidDel="00000000" w:rsidP="00000000" w:rsidRDefault="00000000" w:rsidRPr="00000000" w14:paraId="000000CC">
      <w:pPr>
        <w:spacing w:after="161" w:line="259" w:lineRule="auto"/>
        <w:ind w:left="-5" w:firstLine="0"/>
        <w:rPr>
          <w:sz w:val="22"/>
          <w:szCs w:val="22"/>
        </w:rPr>
      </w:pPr>
      <w:r w:rsidDel="00000000" w:rsidR="00000000" w:rsidRPr="00000000">
        <w:rPr>
          <w:sz w:val="22"/>
          <w:szCs w:val="22"/>
          <w:rtl w:val="0"/>
        </w:rPr>
        <w:t xml:space="preserve">Dahl, Robert A. 1971. </w:t>
      </w:r>
      <w:r w:rsidDel="00000000" w:rsidR="00000000" w:rsidRPr="00000000">
        <w:rPr>
          <w:i w:val="1"/>
          <w:sz w:val="22"/>
          <w:szCs w:val="22"/>
          <w:rtl w:val="0"/>
        </w:rPr>
        <w:t xml:space="preserve">Polyarchy: Participation and opposition</w:t>
      </w:r>
      <w:r w:rsidDel="00000000" w:rsidR="00000000" w:rsidRPr="00000000">
        <w:rPr>
          <w:sz w:val="22"/>
          <w:szCs w:val="22"/>
          <w:rtl w:val="0"/>
        </w:rPr>
        <w:t xml:space="preserve">. New Haven: Yale University Press.</w:t>
      </w:r>
    </w:p>
    <w:p w:rsidR="00000000" w:rsidDel="00000000" w:rsidP="00000000" w:rsidRDefault="00000000" w:rsidRPr="00000000" w14:paraId="000000CD">
      <w:pPr>
        <w:spacing w:after="0" w:line="426" w:lineRule="auto"/>
        <w:ind w:left="294" w:right="-15" w:hanging="309"/>
        <w:rPr>
          <w:sz w:val="22"/>
          <w:szCs w:val="22"/>
        </w:rPr>
      </w:pPr>
      <w:r w:rsidDel="00000000" w:rsidR="00000000" w:rsidRPr="00000000">
        <w:rPr>
          <w:i w:val="1"/>
          <w:sz w:val="22"/>
          <w:szCs w:val="22"/>
          <w:rtl w:val="0"/>
        </w:rPr>
        <w:t xml:space="preserve">Democracy Index 2010: Democracy in Retreat</w:t>
      </w:r>
      <w:r w:rsidDel="00000000" w:rsidR="00000000" w:rsidRPr="00000000">
        <w:rPr>
          <w:sz w:val="22"/>
          <w:szCs w:val="22"/>
          <w:rtl w:val="0"/>
        </w:rPr>
        <w:t xml:space="preserve">. 2010. Economist Intelligence Unit. </w:t>
      </w:r>
      <w:hyperlink r:id="rId25">
        <w:r w:rsidDel="00000000" w:rsidR="00000000" w:rsidRPr="00000000">
          <w:rPr>
            <w:color w:val="0000ff"/>
            <w:sz w:val="22"/>
            <w:szCs w:val="22"/>
            <w:rtl w:val="0"/>
          </w:rPr>
          <w:t xml:space="preserve">http://www.eiu.com/ public/democracy_index.aspx</w:t>
        </w:r>
      </w:hyperlink>
      <w:r w:rsidDel="00000000" w:rsidR="00000000" w:rsidRPr="00000000">
        <w:rPr>
          <w:sz w:val="22"/>
          <w:szCs w:val="22"/>
          <w:rtl w:val="0"/>
        </w:rPr>
        <w:t xml:space="preserve">.</w:t>
      </w:r>
    </w:p>
    <w:p w:rsidR="00000000" w:rsidDel="00000000" w:rsidP="00000000" w:rsidRDefault="00000000" w:rsidRPr="00000000" w14:paraId="000000CE">
      <w:pPr>
        <w:ind w:left="284" w:hanging="299"/>
        <w:rPr>
          <w:sz w:val="22"/>
          <w:szCs w:val="22"/>
        </w:rPr>
      </w:pPr>
      <w:r w:rsidDel="00000000" w:rsidR="00000000" w:rsidRPr="00000000">
        <w:rPr>
          <w:sz w:val="22"/>
          <w:szCs w:val="22"/>
          <w:rtl w:val="0"/>
        </w:rPr>
        <w:t xml:space="preserve">Gervasoni, Carlos. 2010. “A Rentier Theory of Subnational Regimes: Fiscal Federalism, Democracy, and Authoritarianism in the Argentine Provinces.” </w:t>
      </w:r>
      <w:r w:rsidDel="00000000" w:rsidR="00000000" w:rsidRPr="00000000">
        <w:rPr>
          <w:i w:val="1"/>
          <w:sz w:val="22"/>
          <w:szCs w:val="22"/>
          <w:rtl w:val="0"/>
        </w:rPr>
        <w:t xml:space="preserve">World Politics </w:t>
      </w:r>
      <w:r w:rsidDel="00000000" w:rsidR="00000000" w:rsidRPr="00000000">
        <w:rPr>
          <w:sz w:val="22"/>
          <w:szCs w:val="22"/>
          <w:rtl w:val="0"/>
        </w:rPr>
        <w:t xml:space="preserve">62(2): 302–340. </w:t>
      </w:r>
      <w:hyperlink r:id="rId26">
        <w:r w:rsidDel="00000000" w:rsidR="00000000" w:rsidRPr="00000000">
          <w:rPr>
            <w:color w:val="0000ff"/>
            <w:sz w:val="22"/>
            <w:szCs w:val="22"/>
            <w:rtl w:val="0"/>
          </w:rPr>
          <w:t xml:space="preserve">https://muse.jhu.edu/ article/379158</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January 26, 2024).</w:t>
      </w:r>
    </w:p>
    <w:p w:rsidR="00000000" w:rsidDel="00000000" w:rsidP="00000000" w:rsidRDefault="00000000" w:rsidRPr="00000000" w14:paraId="000000CF">
      <w:pPr>
        <w:spacing w:after="0" w:line="425" w:lineRule="auto"/>
        <w:ind w:left="294" w:right="-15" w:hanging="309"/>
        <w:jc w:val="left"/>
        <w:rPr>
          <w:sz w:val="22"/>
          <w:szCs w:val="22"/>
        </w:rPr>
      </w:pPr>
      <w:r w:rsidDel="00000000" w:rsidR="00000000" w:rsidRPr="00000000">
        <w:rPr>
          <w:sz w:val="22"/>
          <w:szCs w:val="22"/>
          <w:rtl w:val="0"/>
        </w:rPr>
        <w:t xml:space="preserve">Gervasoni, Carlos. 2018. </w:t>
      </w:r>
      <w:r w:rsidDel="00000000" w:rsidR="00000000" w:rsidRPr="00000000">
        <w:rPr>
          <w:i w:val="1"/>
          <w:sz w:val="22"/>
          <w:szCs w:val="22"/>
          <w:rtl w:val="0"/>
        </w:rPr>
        <w:t xml:space="preserve">Hybrid Regimes within Democracies: Fiscal Federalism and Subnational Rentier States</w:t>
      </w:r>
      <w:r w:rsidDel="00000000" w:rsidR="00000000" w:rsidRPr="00000000">
        <w:rPr>
          <w:sz w:val="22"/>
          <w:szCs w:val="22"/>
          <w:rtl w:val="0"/>
        </w:rPr>
        <w:t xml:space="preserve">. Cambridge: Cambridge university press.</w:t>
      </w:r>
    </w:p>
    <w:p w:rsidR="00000000" w:rsidDel="00000000" w:rsidP="00000000" w:rsidRDefault="00000000" w:rsidRPr="00000000" w14:paraId="000000D0">
      <w:pPr>
        <w:ind w:left="284" w:hanging="299"/>
        <w:rPr>
          <w:sz w:val="22"/>
          <w:szCs w:val="22"/>
        </w:rPr>
      </w:pPr>
      <w:r w:rsidDel="00000000" w:rsidR="00000000" w:rsidRPr="00000000">
        <w:rPr>
          <w:sz w:val="22"/>
          <w:szCs w:val="22"/>
          <w:rtl w:val="0"/>
        </w:rPr>
        <w:t xml:space="preserve">Giraudy, Agustina. 2013. “Varieties of Subnational Undemocratic Regimes: Evidence from Argentina and Mexico.” </w:t>
      </w:r>
      <w:r w:rsidDel="00000000" w:rsidR="00000000" w:rsidRPr="00000000">
        <w:rPr>
          <w:i w:val="1"/>
          <w:sz w:val="22"/>
          <w:szCs w:val="22"/>
          <w:rtl w:val="0"/>
        </w:rPr>
        <w:t xml:space="preserve">Studies in Comparative International Development </w:t>
      </w:r>
      <w:r w:rsidDel="00000000" w:rsidR="00000000" w:rsidRPr="00000000">
        <w:rPr>
          <w:sz w:val="22"/>
          <w:szCs w:val="22"/>
          <w:rtl w:val="0"/>
        </w:rPr>
        <w:t xml:space="preserve">48(1): 51–80. </w:t>
      </w:r>
      <w:hyperlink r:id="rId27">
        <w:r w:rsidDel="00000000" w:rsidR="00000000" w:rsidRPr="00000000">
          <w:rPr>
            <w:color w:val="0000ff"/>
            <w:sz w:val="22"/>
            <w:szCs w:val="22"/>
            <w:rtl w:val="0"/>
          </w:rPr>
          <w:t xml:space="preserve">http://link.springer.com/10.</w:t>
        </w:r>
      </w:hyperlink>
      <w:r w:rsidDel="00000000" w:rsidR="00000000" w:rsidRPr="00000000">
        <w:rPr>
          <w:rtl w:val="0"/>
        </w:rPr>
      </w:r>
    </w:p>
    <w:p w:rsidR="00000000" w:rsidDel="00000000" w:rsidP="00000000" w:rsidRDefault="00000000" w:rsidRPr="00000000" w14:paraId="000000D1">
      <w:pPr>
        <w:spacing w:after="161" w:line="259" w:lineRule="auto"/>
        <w:ind w:left="309" w:firstLine="0"/>
        <w:rPr>
          <w:sz w:val="22"/>
          <w:szCs w:val="22"/>
        </w:rPr>
      </w:pPr>
      <w:hyperlink r:id="rId28">
        <w:r w:rsidDel="00000000" w:rsidR="00000000" w:rsidRPr="00000000">
          <w:rPr>
            <w:color w:val="0000ff"/>
            <w:sz w:val="22"/>
            <w:szCs w:val="22"/>
            <w:rtl w:val="0"/>
          </w:rPr>
          <w:t xml:space="preserve">1007/s12116-012-9117-4</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D2">
      <w:pPr>
        <w:spacing w:after="161" w:line="259" w:lineRule="auto"/>
        <w:ind w:left="-5" w:firstLine="0"/>
        <w:rPr>
          <w:sz w:val="22"/>
          <w:szCs w:val="22"/>
        </w:rPr>
      </w:pPr>
      <w:r w:rsidDel="00000000" w:rsidR="00000000" w:rsidRPr="00000000">
        <w:rPr>
          <w:sz w:val="22"/>
          <w:szCs w:val="22"/>
          <w:rtl w:val="0"/>
        </w:rPr>
        <w:t xml:space="preserve">Goertz, Gary. 2006. </w:t>
      </w:r>
      <w:r w:rsidDel="00000000" w:rsidR="00000000" w:rsidRPr="00000000">
        <w:rPr>
          <w:i w:val="1"/>
          <w:sz w:val="22"/>
          <w:szCs w:val="22"/>
          <w:rtl w:val="0"/>
        </w:rPr>
        <w:t xml:space="preserve">Social science concepts: A user’s guide</w:t>
      </w:r>
      <w:r w:rsidDel="00000000" w:rsidR="00000000" w:rsidRPr="00000000">
        <w:rPr>
          <w:sz w:val="22"/>
          <w:szCs w:val="22"/>
          <w:rtl w:val="0"/>
        </w:rPr>
        <w:t xml:space="preserve">. Princeton: Princeton University Press.</w:t>
      </w:r>
    </w:p>
    <w:p w:rsidR="00000000" w:rsidDel="00000000" w:rsidP="00000000" w:rsidRDefault="00000000" w:rsidRPr="00000000" w14:paraId="000000D3">
      <w:pPr>
        <w:spacing w:after="0" w:line="426" w:lineRule="auto"/>
        <w:ind w:left="294" w:right="-15" w:hanging="309"/>
        <w:rPr>
          <w:sz w:val="22"/>
          <w:szCs w:val="22"/>
        </w:rPr>
      </w:pPr>
      <w:r w:rsidDel="00000000" w:rsidR="00000000" w:rsidRPr="00000000">
        <w:rPr>
          <w:sz w:val="22"/>
          <w:szCs w:val="22"/>
          <w:rtl w:val="0"/>
        </w:rPr>
        <w:t xml:space="preserve">Grumbach, Jacob M. 2023. “Laboratories of Democratic Backsliding.” </w:t>
      </w:r>
      <w:r w:rsidDel="00000000" w:rsidR="00000000" w:rsidRPr="00000000">
        <w:rPr>
          <w:i w:val="1"/>
          <w:sz w:val="22"/>
          <w:szCs w:val="22"/>
          <w:rtl w:val="0"/>
        </w:rPr>
        <w:t xml:space="preserve">American Political Science Review </w:t>
      </w:r>
      <w:r w:rsidDel="00000000" w:rsidR="00000000" w:rsidRPr="00000000">
        <w:rPr>
          <w:sz w:val="22"/>
          <w:szCs w:val="22"/>
          <w:rtl w:val="0"/>
        </w:rPr>
        <w:t xml:space="preserve">117(3): 967–984. </w:t>
      </w:r>
      <w:hyperlink r:id="rId29">
        <w:r w:rsidDel="00000000" w:rsidR="00000000" w:rsidRPr="00000000">
          <w:rPr>
            <w:color w:val="0000ff"/>
            <w:sz w:val="22"/>
            <w:szCs w:val="22"/>
            <w:rtl w:val="0"/>
          </w:rPr>
          <w:t xml:space="preserve">https://www.cambridge.org/core/product/identifier/S0003055422000934/type/ journal_article</w:t>
        </w:r>
      </w:hyperlink>
      <w:r w:rsidDel="00000000" w:rsidR="00000000" w:rsidRPr="00000000">
        <w:rPr>
          <w:sz w:val="22"/>
          <w:szCs w:val="22"/>
          <w:rtl w:val="0"/>
        </w:rPr>
        <w:t xml:space="preserve">.</w:t>
      </w:r>
    </w:p>
    <w:p w:rsidR="00000000" w:rsidDel="00000000" w:rsidP="00000000" w:rsidRDefault="00000000" w:rsidRPr="00000000" w14:paraId="000000D4">
      <w:pPr>
        <w:ind w:left="284" w:hanging="299"/>
        <w:rPr>
          <w:sz w:val="22"/>
          <w:szCs w:val="22"/>
        </w:rPr>
      </w:pPr>
      <w:r w:rsidDel="00000000" w:rsidR="00000000" w:rsidRPr="00000000">
        <w:rPr>
          <w:sz w:val="22"/>
          <w:szCs w:val="22"/>
          <w:rtl w:val="0"/>
        </w:rPr>
        <w:t xml:space="preserve">Hernández Valdez. 2000. “Las causas estructurales de la democracia local en México, 1989-1998.” </w:t>
      </w:r>
      <w:r w:rsidDel="00000000" w:rsidR="00000000" w:rsidRPr="00000000">
        <w:rPr>
          <w:i w:val="1"/>
          <w:sz w:val="22"/>
          <w:szCs w:val="22"/>
          <w:rtl w:val="0"/>
        </w:rPr>
        <w:t xml:space="preserve">Política y Gobierno </w:t>
      </w:r>
      <w:r w:rsidDel="00000000" w:rsidR="00000000" w:rsidRPr="00000000">
        <w:rPr>
          <w:sz w:val="22"/>
          <w:szCs w:val="22"/>
          <w:rtl w:val="0"/>
        </w:rPr>
        <w:t xml:space="preserve">VII(1): 101–144. </w:t>
      </w:r>
      <w:hyperlink r:id="rId30">
        <w:r w:rsidDel="00000000" w:rsidR="00000000" w:rsidRPr="00000000">
          <w:rPr>
            <w:color w:val="0000ff"/>
            <w:sz w:val="22"/>
            <w:szCs w:val="22"/>
            <w:rtl w:val="0"/>
          </w:rPr>
          <w:t xml:space="preserve">http://www.politicaygobierno.cide.edu/index.php/pyg/article/view/435</w:t>
        </w:r>
      </w:hyperlink>
      <w:r w:rsidDel="00000000" w:rsidR="00000000" w:rsidRPr="00000000">
        <w:rPr>
          <w:sz w:val="22"/>
          <w:szCs w:val="22"/>
          <w:rtl w:val="0"/>
        </w:rPr>
        <w:t xml:space="preserve">.</w:t>
      </w:r>
    </w:p>
    <w:p w:rsidR="00000000" w:rsidDel="00000000" w:rsidP="00000000" w:rsidRDefault="00000000" w:rsidRPr="00000000" w14:paraId="000000D5">
      <w:pPr>
        <w:spacing w:after="0" w:line="426" w:lineRule="auto"/>
        <w:ind w:left="294" w:right="-15" w:hanging="309"/>
        <w:rPr>
          <w:sz w:val="22"/>
          <w:szCs w:val="22"/>
        </w:rPr>
      </w:pPr>
      <w:r w:rsidDel="00000000" w:rsidR="00000000" w:rsidRPr="00000000">
        <w:rPr>
          <w:sz w:val="22"/>
          <w:szCs w:val="22"/>
          <w:rtl w:val="0"/>
        </w:rPr>
        <w:t xml:space="preserve">House, Freedom.</w:t>
        <w:tab/>
        <w:t xml:space="preserve">2015.</w:t>
        <w:tab/>
      </w:r>
      <w:r w:rsidDel="00000000" w:rsidR="00000000" w:rsidRPr="00000000">
        <w:rPr>
          <w:i w:val="1"/>
          <w:sz w:val="22"/>
          <w:szCs w:val="22"/>
          <w:rtl w:val="0"/>
        </w:rPr>
        <w:t xml:space="preserve">Methodology</w:t>
      </w:r>
      <w:r w:rsidDel="00000000" w:rsidR="00000000" w:rsidRPr="00000000">
        <w:rPr>
          <w:sz w:val="22"/>
          <w:szCs w:val="22"/>
          <w:rtl w:val="0"/>
        </w:rPr>
        <w:t xml:space="preserve">.</w:t>
        <w:tab/>
        <w:t xml:space="preserve">New York.</w:t>
        <w:tab/>
      </w:r>
      <w:hyperlink r:id="rId31">
        <w:r w:rsidDel="00000000" w:rsidR="00000000" w:rsidRPr="00000000">
          <w:rPr>
            <w:color w:val="0000ff"/>
            <w:sz w:val="22"/>
            <w:szCs w:val="22"/>
            <w:rtl w:val="0"/>
          </w:rPr>
          <w:t xml:space="preserve">https://freedomhouse.org/sites/default/files/ Methodology_FIW_2015.pdf</w:t>
        </w:r>
      </w:hyperlink>
      <w:r w:rsidDel="00000000" w:rsidR="00000000" w:rsidRPr="00000000">
        <w:rPr>
          <w:sz w:val="22"/>
          <w:szCs w:val="22"/>
          <w:rtl w:val="0"/>
        </w:rPr>
        <w:t xml:space="preserve">.</w:t>
      </w:r>
    </w:p>
    <w:p w:rsidR="00000000" w:rsidDel="00000000" w:rsidP="00000000" w:rsidRDefault="00000000" w:rsidRPr="00000000" w14:paraId="000000D6">
      <w:pPr>
        <w:spacing w:after="0" w:line="426" w:lineRule="auto"/>
        <w:ind w:left="-15" w:right="-15" w:firstLine="0"/>
        <w:rPr>
          <w:sz w:val="22"/>
          <w:szCs w:val="22"/>
        </w:rPr>
      </w:pPr>
      <w:r w:rsidDel="00000000" w:rsidR="00000000" w:rsidRPr="00000000">
        <w:rPr>
          <w:sz w:val="22"/>
          <w:szCs w:val="22"/>
          <w:rtl w:val="0"/>
        </w:rPr>
        <w:t xml:space="preserve">Marquardt, Kyle L., and Daniel Pemstein. 2018. “IRT Models for Expert-Coded Panel Data.” </w:t>
      </w:r>
      <w:r w:rsidDel="00000000" w:rsidR="00000000" w:rsidRPr="00000000">
        <w:rPr>
          <w:i w:val="1"/>
          <w:sz w:val="22"/>
          <w:szCs w:val="22"/>
          <w:rtl w:val="0"/>
        </w:rPr>
        <w:t xml:space="preserve">Political Analysis </w:t>
      </w:r>
      <w:r w:rsidDel="00000000" w:rsidR="00000000" w:rsidRPr="00000000">
        <w:rPr>
          <w:sz w:val="22"/>
          <w:szCs w:val="22"/>
          <w:rtl w:val="0"/>
        </w:rPr>
        <w:t xml:space="preserve">26(4): 431–456. </w:t>
      </w:r>
      <w:hyperlink r:id="rId32">
        <w:r w:rsidDel="00000000" w:rsidR="00000000" w:rsidRPr="00000000">
          <w:rPr>
            <w:color w:val="0000ff"/>
            <w:sz w:val="22"/>
            <w:szCs w:val="22"/>
            <w:rtl w:val="0"/>
          </w:rPr>
          <w:t xml:space="preserve">https://www.cambridge.org/core/journals/political-analysis/article/irt-models-forexpertcoded-panel-data/69FF815364303D744DDD0228BE2B6EF3</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D7">
      <w:pPr>
        <w:ind w:left="284" w:hanging="299"/>
        <w:rPr>
          <w:sz w:val="22"/>
          <w:szCs w:val="22"/>
        </w:rPr>
      </w:pPr>
      <w:r w:rsidDel="00000000" w:rsidR="00000000" w:rsidRPr="00000000">
        <w:rPr>
          <w:sz w:val="22"/>
          <w:szCs w:val="22"/>
          <w:rtl w:val="0"/>
        </w:rPr>
        <w:t xml:space="preserve">Marshall, Monty G., and Keith Jaggers. 2014. </w:t>
      </w:r>
      <w:r w:rsidDel="00000000" w:rsidR="00000000" w:rsidRPr="00000000">
        <w:rPr>
          <w:i w:val="1"/>
          <w:sz w:val="22"/>
          <w:szCs w:val="22"/>
          <w:rtl w:val="0"/>
        </w:rPr>
        <w:t xml:space="preserve">Polity IV Project: Political Regime Characteristics and Transitions, 1800–2006</w:t>
      </w:r>
      <w:r w:rsidDel="00000000" w:rsidR="00000000" w:rsidRPr="00000000">
        <w:rPr>
          <w:sz w:val="22"/>
          <w:szCs w:val="22"/>
          <w:rtl w:val="0"/>
        </w:rPr>
        <w:t xml:space="preserve">. Center for Global Policy George Mason University.</w:t>
      </w:r>
    </w:p>
    <w:p w:rsidR="00000000" w:rsidDel="00000000" w:rsidP="00000000" w:rsidRDefault="00000000" w:rsidRPr="00000000" w14:paraId="000000D8">
      <w:pPr>
        <w:ind w:left="284" w:hanging="299"/>
        <w:rPr>
          <w:sz w:val="22"/>
          <w:szCs w:val="22"/>
        </w:rPr>
      </w:pPr>
      <w:r w:rsidDel="00000000" w:rsidR="00000000" w:rsidRPr="00000000">
        <w:rPr>
          <w:sz w:val="22"/>
          <w:szCs w:val="22"/>
          <w:rtl w:val="0"/>
        </w:rPr>
        <w:t xml:space="preserve">McMann, Kelly M. et al. 2021. “Explaining Subnational Regime Variation: Country-Level Factors.” </w:t>
      </w:r>
      <w:r w:rsidDel="00000000" w:rsidR="00000000" w:rsidRPr="00000000">
        <w:rPr>
          <w:i w:val="1"/>
          <w:sz w:val="22"/>
          <w:szCs w:val="22"/>
          <w:rtl w:val="0"/>
        </w:rPr>
        <w:t xml:space="preserve">Comparative Politics </w:t>
      </w:r>
      <w:r w:rsidDel="00000000" w:rsidR="00000000" w:rsidRPr="00000000">
        <w:rPr>
          <w:sz w:val="22"/>
          <w:szCs w:val="22"/>
          <w:rtl w:val="0"/>
        </w:rPr>
        <w:t xml:space="preserve">53(4): 637–685. </w:t>
      </w:r>
      <w:hyperlink r:id="rId33">
        <w:r w:rsidDel="00000000" w:rsidR="00000000" w:rsidRPr="00000000">
          <w:rPr>
            <w:color w:val="0000ff"/>
            <w:sz w:val="22"/>
            <w:szCs w:val="22"/>
            <w:rtl w:val="0"/>
          </w:rPr>
          <w:t xml:space="preserve">https://www.ingentaconnect.com/content/10.5129/ 001041521X16007785801364</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November 6, 2023).</w:t>
      </w:r>
    </w:p>
    <w:p w:rsidR="00000000" w:rsidDel="00000000" w:rsidP="00000000" w:rsidRDefault="00000000" w:rsidRPr="00000000" w14:paraId="000000D9">
      <w:pPr>
        <w:ind w:left="284" w:hanging="299"/>
        <w:rPr>
          <w:sz w:val="22"/>
          <w:szCs w:val="22"/>
        </w:rPr>
      </w:pPr>
      <w:r w:rsidDel="00000000" w:rsidR="00000000" w:rsidRPr="00000000">
        <w:rPr>
          <w:sz w:val="22"/>
          <w:szCs w:val="22"/>
          <w:rtl w:val="0"/>
        </w:rPr>
        <w:t xml:space="preserve">McMann, Kelly M., and Matthew Maguire. 2018. “Democratic Consolidation: A Theory of Territorial Consolidation.” </w:t>
      </w:r>
      <w:r w:rsidDel="00000000" w:rsidR="00000000" w:rsidRPr="00000000">
        <w:rPr>
          <w:i w:val="1"/>
          <w:sz w:val="22"/>
          <w:szCs w:val="22"/>
          <w:rtl w:val="0"/>
        </w:rPr>
        <w:t xml:space="preserve">SSRN Electronic Journal</w:t>
      </w:r>
      <w:r w:rsidDel="00000000" w:rsidR="00000000" w:rsidRPr="00000000">
        <w:rPr>
          <w:sz w:val="22"/>
          <w:szCs w:val="22"/>
          <w:rtl w:val="0"/>
        </w:rPr>
        <w:t xml:space="preserve">. </w:t>
      </w:r>
      <w:hyperlink r:id="rId34">
        <w:r w:rsidDel="00000000" w:rsidR="00000000" w:rsidRPr="00000000">
          <w:rPr>
            <w:color w:val="0000ff"/>
            <w:sz w:val="22"/>
            <w:szCs w:val="22"/>
            <w:rtl w:val="0"/>
          </w:rPr>
          <w:t xml:space="preserve">https://www.ssrn.com/abstract=3236595</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February 2, 2024).</w:t>
      </w:r>
    </w:p>
    <w:p w:rsidR="00000000" w:rsidDel="00000000" w:rsidP="00000000" w:rsidRDefault="00000000" w:rsidRPr="00000000" w14:paraId="000000DA">
      <w:pPr>
        <w:ind w:left="284" w:hanging="299"/>
        <w:rPr>
          <w:sz w:val="22"/>
          <w:szCs w:val="22"/>
        </w:rPr>
      </w:pPr>
      <w:r w:rsidDel="00000000" w:rsidR="00000000" w:rsidRPr="00000000">
        <w:rPr>
          <w:sz w:val="22"/>
          <w:szCs w:val="22"/>
          <w:rtl w:val="0"/>
        </w:rPr>
        <w:t xml:space="preserve">Meixueiro Nájera, Gustavo, and Salvador Moreno Pérez. 2014. </w:t>
      </w:r>
      <w:r w:rsidDel="00000000" w:rsidR="00000000" w:rsidRPr="00000000">
        <w:rPr>
          <w:i w:val="1"/>
          <w:sz w:val="22"/>
          <w:szCs w:val="22"/>
          <w:rtl w:val="0"/>
        </w:rPr>
        <w:t xml:space="preserve">Premio nacional de investigación social y de opinión pública 2012</w:t>
      </w:r>
      <w:r w:rsidDel="00000000" w:rsidR="00000000" w:rsidRPr="00000000">
        <w:rPr>
          <w:sz w:val="22"/>
          <w:szCs w:val="22"/>
          <w:rtl w:val="0"/>
        </w:rPr>
        <w:t xml:space="preserve">. Mexico, D.F.: Centro de Estudios Sociales y de Opinión Pública.</w:t>
      </w:r>
    </w:p>
    <w:p w:rsidR="00000000" w:rsidDel="00000000" w:rsidP="00000000" w:rsidRDefault="00000000" w:rsidRPr="00000000" w14:paraId="000000DB">
      <w:pPr>
        <w:spacing w:after="0" w:line="425" w:lineRule="auto"/>
        <w:ind w:left="294" w:right="-15" w:hanging="309"/>
        <w:jc w:val="left"/>
        <w:rPr>
          <w:sz w:val="22"/>
          <w:szCs w:val="22"/>
        </w:rPr>
      </w:pPr>
      <w:r w:rsidDel="00000000" w:rsidR="00000000" w:rsidRPr="00000000">
        <w:rPr>
          <w:sz w:val="22"/>
          <w:szCs w:val="22"/>
          <w:rtl w:val="0"/>
        </w:rPr>
        <w:t xml:space="preserve">Mickey, Robert Waite. 2015. </w:t>
      </w:r>
      <w:r w:rsidDel="00000000" w:rsidR="00000000" w:rsidRPr="00000000">
        <w:rPr>
          <w:i w:val="1"/>
          <w:sz w:val="22"/>
          <w:szCs w:val="22"/>
          <w:rtl w:val="0"/>
        </w:rPr>
        <w:t xml:space="preserve">Paths out of Dixie: The democratization of authoritarian enclaves in America’s Deep South, 1944-1972</w:t>
      </w:r>
      <w:r w:rsidDel="00000000" w:rsidR="00000000" w:rsidRPr="00000000">
        <w:rPr>
          <w:sz w:val="22"/>
          <w:szCs w:val="22"/>
          <w:rtl w:val="0"/>
        </w:rPr>
        <w:t xml:space="preserve">. Princeton, New Jersey: Princeton University Press.</w:t>
      </w:r>
    </w:p>
    <w:p w:rsidR="00000000" w:rsidDel="00000000" w:rsidP="00000000" w:rsidRDefault="00000000" w:rsidRPr="00000000" w14:paraId="000000DC">
      <w:pPr>
        <w:spacing w:after="0" w:line="425" w:lineRule="auto"/>
        <w:ind w:left="294" w:right="-15" w:hanging="309"/>
        <w:jc w:val="left"/>
        <w:rPr>
          <w:sz w:val="22"/>
          <w:szCs w:val="22"/>
        </w:rPr>
      </w:pPr>
      <w:r w:rsidDel="00000000" w:rsidR="00000000" w:rsidRPr="00000000">
        <w:rPr>
          <w:sz w:val="22"/>
          <w:szCs w:val="22"/>
          <w:rtl w:val="0"/>
        </w:rPr>
        <w:t xml:space="preserve">Pemstein, Daniel et al. 2023. </w:t>
      </w:r>
      <w:r w:rsidDel="00000000" w:rsidR="00000000" w:rsidRPr="00000000">
        <w:rPr>
          <w:i w:val="1"/>
          <w:sz w:val="22"/>
          <w:szCs w:val="22"/>
          <w:rtl w:val="0"/>
        </w:rPr>
        <w:t xml:space="preserve">The V–Dem Measurement Model: Latent Variable Analysis for Cross-National and Cross-Temporal Expert-Coded Data</w:t>
      </w:r>
      <w:r w:rsidDel="00000000" w:rsidR="00000000" w:rsidRPr="00000000">
        <w:rPr>
          <w:sz w:val="22"/>
          <w:szCs w:val="22"/>
          <w:rtl w:val="0"/>
        </w:rPr>
        <w:t xml:space="preserve">. The Varieties of Democracy Institute. Working Paper.</w:t>
      </w:r>
    </w:p>
    <w:p w:rsidR="00000000" w:rsidDel="00000000" w:rsidP="00000000" w:rsidRDefault="00000000" w:rsidRPr="00000000" w14:paraId="000000DD">
      <w:pPr>
        <w:ind w:left="284" w:hanging="299"/>
        <w:rPr>
          <w:sz w:val="22"/>
          <w:szCs w:val="22"/>
        </w:rPr>
      </w:pPr>
      <w:r w:rsidDel="00000000" w:rsidR="00000000" w:rsidRPr="00000000">
        <w:rPr>
          <w:sz w:val="22"/>
          <w:szCs w:val="22"/>
          <w:rtl w:val="0"/>
        </w:rPr>
        <w:t xml:space="preserve">Pemstein, Daniel, Stephen A. Meserve, and James Melton. 2010. “Democratic Compromise: A Latent Variable Analysis of Ten Measures of Regime Type.” </w:t>
      </w:r>
      <w:r w:rsidDel="00000000" w:rsidR="00000000" w:rsidRPr="00000000">
        <w:rPr>
          <w:i w:val="1"/>
          <w:sz w:val="22"/>
          <w:szCs w:val="22"/>
          <w:rtl w:val="0"/>
        </w:rPr>
        <w:t xml:space="preserve">Political Analysis </w:t>
      </w:r>
      <w:r w:rsidDel="00000000" w:rsidR="00000000" w:rsidRPr="00000000">
        <w:rPr>
          <w:sz w:val="22"/>
          <w:szCs w:val="22"/>
          <w:rtl w:val="0"/>
        </w:rPr>
        <w:t xml:space="preserve">18(4): 426–449. </w:t>
      </w:r>
      <w:hyperlink r:id="rId35">
        <w:r w:rsidDel="00000000" w:rsidR="00000000" w:rsidRPr="00000000">
          <w:rPr>
            <w:color w:val="0000ff"/>
            <w:sz w:val="22"/>
            <w:szCs w:val="22"/>
            <w:rtl w:val="0"/>
          </w:rPr>
          <w:t xml:space="preserve">https://www.cambridge.org/core/product/identifier/S1047198700012559/type/journal_article</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DE">
      <w:pPr>
        <w:ind w:left="284" w:hanging="299"/>
        <w:rPr>
          <w:sz w:val="22"/>
          <w:szCs w:val="22"/>
        </w:rPr>
      </w:pPr>
      <w:r w:rsidDel="00000000" w:rsidR="00000000" w:rsidRPr="00000000">
        <w:rPr>
          <w:sz w:val="22"/>
          <w:szCs w:val="22"/>
          <w:rtl w:val="0"/>
        </w:rPr>
        <w:t xml:space="preserve">Pérez Sandoval, Javier. 2023. “Measuring and assessing </w:t>
      </w:r>
      <w:r w:rsidDel="00000000" w:rsidR="00000000" w:rsidRPr="00000000">
        <w:rPr>
          <w:i w:val="1"/>
          <w:sz w:val="22"/>
          <w:szCs w:val="22"/>
          <w:rtl w:val="0"/>
        </w:rPr>
        <w:t xml:space="preserve">Subnational Electoral </w:t>
      </w:r>
      <w:r w:rsidDel="00000000" w:rsidR="00000000" w:rsidRPr="00000000">
        <w:rPr>
          <w:sz w:val="22"/>
          <w:szCs w:val="22"/>
          <w:rtl w:val="0"/>
        </w:rPr>
        <w:t xml:space="preserve">democracy: A new dataset for the Americas and India.” </w:t>
      </w:r>
      <w:r w:rsidDel="00000000" w:rsidR="00000000" w:rsidRPr="00000000">
        <w:rPr>
          <w:i w:val="1"/>
          <w:sz w:val="22"/>
          <w:szCs w:val="22"/>
          <w:rtl w:val="0"/>
        </w:rPr>
        <w:t xml:space="preserve">Democratization </w:t>
      </w:r>
      <w:r w:rsidDel="00000000" w:rsidR="00000000" w:rsidRPr="00000000">
        <w:rPr>
          <w:sz w:val="22"/>
          <w:szCs w:val="22"/>
          <w:rtl w:val="0"/>
        </w:rPr>
        <w:t xml:space="preserve">30(4): 715–740. </w:t>
      </w:r>
      <w:hyperlink r:id="rId36">
        <w:r w:rsidDel="00000000" w:rsidR="00000000" w:rsidRPr="00000000">
          <w:rPr>
            <w:color w:val="0000ff"/>
            <w:sz w:val="22"/>
            <w:szCs w:val="22"/>
            <w:rtl w:val="0"/>
          </w:rPr>
          <w:t xml:space="preserve">https://www.tandfonline.com/doi/full/ 10.1080/13510347.2023.2183195</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February 9, 2024).</w:t>
      </w:r>
    </w:p>
    <w:p w:rsidR="00000000" w:rsidDel="00000000" w:rsidP="00000000" w:rsidRDefault="00000000" w:rsidRPr="00000000" w14:paraId="000000DF">
      <w:pPr>
        <w:ind w:left="284" w:hanging="299"/>
        <w:rPr>
          <w:sz w:val="22"/>
          <w:szCs w:val="22"/>
        </w:rPr>
      </w:pPr>
      <w:r w:rsidDel="00000000" w:rsidR="00000000" w:rsidRPr="00000000">
        <w:rPr>
          <w:sz w:val="22"/>
          <w:szCs w:val="22"/>
          <w:rtl w:val="0"/>
        </w:rPr>
        <w:t xml:space="preserve">Przeworski, Adam, and Fernando Limongi. 1997. “Modernization: Theories and Facts.” </w:t>
      </w:r>
      <w:r w:rsidDel="00000000" w:rsidR="00000000" w:rsidRPr="00000000">
        <w:rPr>
          <w:i w:val="1"/>
          <w:sz w:val="22"/>
          <w:szCs w:val="22"/>
          <w:rtl w:val="0"/>
        </w:rPr>
        <w:t xml:space="preserve">World Politics </w:t>
      </w:r>
      <w:r w:rsidDel="00000000" w:rsidR="00000000" w:rsidRPr="00000000">
        <w:rPr>
          <w:sz w:val="22"/>
          <w:szCs w:val="22"/>
          <w:rtl w:val="0"/>
        </w:rPr>
        <w:t xml:space="preserve">49(2): 155–183. </w:t>
      </w:r>
      <w:hyperlink r:id="rId37">
        <w:r w:rsidDel="00000000" w:rsidR="00000000" w:rsidRPr="00000000">
          <w:rPr>
            <w:color w:val="0000ff"/>
            <w:sz w:val="22"/>
            <w:szCs w:val="22"/>
            <w:rtl w:val="0"/>
          </w:rPr>
          <w:t xml:space="preserve">https://www.jstor.org/stable/25053996</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March 4, 2023).</w:t>
      </w:r>
    </w:p>
    <w:p w:rsidR="00000000" w:rsidDel="00000000" w:rsidP="00000000" w:rsidRDefault="00000000" w:rsidRPr="00000000" w14:paraId="000000E0">
      <w:pPr>
        <w:ind w:left="284" w:hanging="299"/>
        <w:rPr>
          <w:sz w:val="22"/>
          <w:szCs w:val="22"/>
        </w:rPr>
      </w:pPr>
      <w:r w:rsidDel="00000000" w:rsidR="00000000" w:rsidRPr="00000000">
        <w:rPr>
          <w:sz w:val="22"/>
          <w:szCs w:val="22"/>
          <w:rtl w:val="0"/>
        </w:rPr>
        <w:t xml:space="preserve">Skaaning, Svend-Erik, John Gerring, and Henrikas Bartusevičius. 2015. “A Lexical Index of Electoral Democracy.” </w:t>
      </w:r>
      <w:r w:rsidDel="00000000" w:rsidR="00000000" w:rsidRPr="00000000">
        <w:rPr>
          <w:i w:val="1"/>
          <w:sz w:val="22"/>
          <w:szCs w:val="22"/>
          <w:rtl w:val="0"/>
        </w:rPr>
        <w:t xml:space="preserve">Comparative Political Studies </w:t>
      </w:r>
      <w:r w:rsidDel="00000000" w:rsidR="00000000" w:rsidRPr="00000000">
        <w:rPr>
          <w:sz w:val="22"/>
          <w:szCs w:val="22"/>
          <w:rtl w:val="0"/>
        </w:rPr>
        <w:t xml:space="preserve">48(12): 1491–1525. </w:t>
      </w:r>
      <w:hyperlink r:id="rId38">
        <w:r w:rsidDel="00000000" w:rsidR="00000000" w:rsidRPr="00000000">
          <w:rPr>
            <w:color w:val="0000ff"/>
            <w:sz w:val="22"/>
            <w:szCs w:val="22"/>
            <w:rtl w:val="0"/>
          </w:rPr>
          <w:t xml:space="preserve">http://journals.sagepub.com/doi/10. 1177/0010414015581050</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p w:rsidR="00000000" w:rsidDel="00000000" w:rsidP="00000000" w:rsidRDefault="00000000" w:rsidRPr="00000000" w14:paraId="000000E1">
      <w:pPr>
        <w:spacing w:after="161" w:line="259" w:lineRule="auto"/>
        <w:ind w:left="-5" w:firstLine="0"/>
        <w:rPr>
          <w:sz w:val="22"/>
          <w:szCs w:val="22"/>
        </w:rPr>
      </w:pPr>
      <w:r w:rsidDel="00000000" w:rsidR="00000000" w:rsidRPr="00000000">
        <w:rPr>
          <w:sz w:val="22"/>
          <w:szCs w:val="22"/>
          <w:rtl w:val="0"/>
        </w:rPr>
        <w:t xml:space="preserve">Vanhanen, Tatu. 2000. “A New Dataset for Measuring Democracy, 1810-1998.” </w:t>
      </w:r>
      <w:r w:rsidDel="00000000" w:rsidR="00000000" w:rsidRPr="00000000">
        <w:rPr>
          <w:i w:val="1"/>
          <w:sz w:val="22"/>
          <w:szCs w:val="22"/>
          <w:rtl w:val="0"/>
        </w:rPr>
        <w:t xml:space="preserve">Journal of Peace Research</w:t>
      </w:r>
      <w:r w:rsidDel="00000000" w:rsidR="00000000" w:rsidRPr="00000000">
        <w:rPr>
          <w:rtl w:val="0"/>
        </w:rPr>
      </w:r>
    </w:p>
    <w:p w:rsidR="00000000" w:rsidDel="00000000" w:rsidP="00000000" w:rsidRDefault="00000000" w:rsidRPr="00000000" w14:paraId="000000E2">
      <w:pPr>
        <w:spacing w:line="259" w:lineRule="auto"/>
        <w:ind w:left="309" w:firstLine="0"/>
        <w:rPr>
          <w:sz w:val="22"/>
          <w:szCs w:val="22"/>
        </w:rPr>
      </w:pPr>
      <w:r w:rsidDel="00000000" w:rsidR="00000000" w:rsidRPr="00000000">
        <w:rPr>
          <w:sz w:val="22"/>
          <w:szCs w:val="22"/>
          <w:rtl w:val="0"/>
        </w:rPr>
        <w:t xml:space="preserve">37(2): 251–265. </w:t>
      </w:r>
      <w:hyperlink r:id="rId39">
        <w:r w:rsidDel="00000000" w:rsidR="00000000" w:rsidRPr="00000000">
          <w:rPr>
            <w:color w:val="0000ff"/>
            <w:sz w:val="22"/>
            <w:szCs w:val="22"/>
            <w:rtl w:val="0"/>
          </w:rPr>
          <w:t xml:space="preserve">https://www.jstor.org/stable/424923</w:t>
        </w:r>
      </w:hyperlink>
      <w:r w:rsidDel="00000000" w:rsidR="00000000" w:rsidRPr="00000000">
        <w:rPr>
          <w:color w:val="0000ff"/>
          <w:sz w:val="22"/>
          <w:szCs w:val="22"/>
          <w:rtl w:val="0"/>
        </w:rPr>
        <w:t xml:space="preserve"> </w:t>
      </w:r>
      <w:r w:rsidDel="00000000" w:rsidR="00000000" w:rsidRPr="00000000">
        <w:rPr>
          <w:sz w:val="22"/>
          <w:szCs w:val="22"/>
          <w:rtl w:val="0"/>
        </w:rPr>
        <w:t xml:space="preserve">(Accessed April 5, 2024).</w:t>
      </w:r>
    </w:p>
    <w:sectPr>
      <w:footerReference r:id="rId40" w:type="default"/>
      <w:footerReference r:id="rId41" w:type="first"/>
      <w:footerReference r:id="rId42" w:type="even"/>
      <w:pgSz w:h="15840" w:w="12240" w:orient="portrait"/>
      <w:pgMar w:bottom="1401" w:top="1447" w:left="1440" w:right="1440" w:header="720" w:footer="80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atrick McQuestion" w:id="14" w:date="2024-04-22T14:44:10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be revised</w:t>
      </w:r>
    </w:p>
  </w:comment>
  <w:comment w:author="Patrick McQuestion" w:id="6" w:date="2024-04-22T13:52:4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just the most straightforward way I could think of comparing the sets. Maybe there is a clearer way?</w:t>
      </w:r>
    </w:p>
  </w:comment>
  <w:comment w:author="Patrick McQuestion" w:id="11" w:date="2024-04-22T14:29:43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w:t>
      </w:r>
    </w:p>
  </w:comment>
  <w:comment w:author="Patrick McQuestion" w:id="0" w:date="2024-04-22T13:50:16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dear @coppedge.1@nd.edu and @msisk1@nd.edu, i was wondering if you wouldn't mind taking a look at this new section. i drafted this over the weekend based on our notes about coder-level analysis.</w:t>
      </w:r>
    </w:p>
  </w:comment>
  <w:comment w:author="Michael Coppedge" w:id="5" w:date="2024-04-22T19:40:03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they are unpublished, I would rather not use them. Others would not be able to replicate that aspect of the analysis, and I think it's important to propose a technique that other users could execute.</w:t>
      </w:r>
    </w:p>
  </w:comment>
  <w:comment w:author="Patrick McQuestion" w:id="10" w:date="2024-04-22T14:00:17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sure this is the most helpful way to go, summarizing how each criteria can be operationalized. But it does illustrate a key process</w:t>
      </w:r>
    </w:p>
  </w:comment>
  <w:comment w:author="Patrick McQuestion" w:id="7" w:date="2024-04-22T13:58:18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not completely sure how (or when in the process) to make this weighting calculation based on coder attrition rates (proportion who answered subnational questions / max total voters).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 written down: "We interacted proportional scores w/ geographic data, but this should happen at a later stage" -- but it seems like this coder-based weighting could happen when we are interacting external data w/ V-Dem data. So the R script would look like this, for the rurality index data (IR18):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IR18 &lt;- IR18 %&gt;%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mutate(el_c0 = CDF_0t1*((v13_col_sn_2018$v2elsnlfc_0)*(8/13)) %&gt;%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mutate(em_c0 = CDF_0t1*((v13_col_sn_2018$v2elsnmrfc_0)*(9/13)) %&gt;%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mutate(cs_c0 = CDF_0t1*((v13_col_sn_2018$v2clrgstch_0)*(9/10)) %&gt;%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mutate(cw_c0 = CDF_0t1*((v13_col_sn_2018$v2clrgwkch_0)*(10/10))</w:t>
      </w:r>
    </w:p>
  </w:comment>
  <w:comment w:author="Patrick McQuestion" w:id="8" w:date="2024-04-22T14:19:4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rather than the script above, this coder-level interaction produces a unique value to be applied uniformly across all municipal units' *factor scores* (for 3-4 variables), after the data reduction process (not for each individual variable as we did before). Then this information is aggregated into a single measure, then mapped. Is that right?</w:t>
      </w:r>
    </w:p>
  </w:comment>
  <w:comment w:author="Michael Coppedge" w:id="9" w:date="2024-04-22T19:44:1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haven't decided, but I was thinking (post-CPW) that this ratio would be included in formula to assign weights to the factor scores. But I'm still not sure if they comparable for the post-2005 ratings, when the number of coders surged.</w:t>
      </w:r>
    </w:p>
  </w:comment>
  <w:comment w:author="Michael Coppedge" w:id="1" w:date="2024-04-22T19:10:19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undemocratic, depending on the question,</w:t>
      </w:r>
    </w:p>
  </w:comment>
  <w:comment w:author="Patrick McQuestion" w:id="3" w:date="2024-04-22T13:51:5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@coppedge.1@nd.edu you mentioned something about a study by Pemstein, that coders self-reporting 100 are sometimes over-confident, and there is a non-linear relationship. I looked around for the article with this info but couldnt find it. Any tips for a citation would be appreciated!</w:t>
      </w:r>
    </w:p>
  </w:comment>
  <w:comment w:author="Michael Coppedge" w:id="4" w:date="2024-04-22T19:40:0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just looked around, too, and I don't think there is a paper that reports this. It's been reported orally in internal V-Dem meetings. But I'll look a little more. also, I was just reminded that the betas (coder reliability scores) are supposedly included in the posteriors archived at CurateND. If so, we could use them because they would be available to anyone. I'll let you know.</w:t>
      </w:r>
    </w:p>
  </w:comment>
  <w:comment w:author="Michael Coppedge" w:id="2" w:date="2024-04-22T19:40:06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coders who answered this question</w:t>
      </w:r>
    </w:p>
  </w:comment>
  <w:comment w:author="Patrick McQuestion" w:id="12" w:date="2024-04-22T14:12:40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a little unclear on how this will work. I have written down that @coppedge.1@nd.edu recommends running a factor analysis of DANE data *before* interacting with the V-Dem data: "Factor analysis could be used for DANE data: what is most important in each unit, reducing from 12 to 3-4 variables: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Income x Rurality x Sparsity x Access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NSEW x DisBogota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Illicit activity x Unrest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[indigenous x ruling party?]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would give us factor scores of non-V-Dem data for each municipal unit (I think). Then, weights based on V-Dem responses *and* coder-level data will be assigned to these individual factor scores, resulting in a summary measure for each survey type?</w:t>
      </w:r>
    </w:p>
  </w:comment>
  <w:comment w:author="Michael Coppedge" w:id="13" w:date="2024-04-22T19:46:1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that's the idea. But in measurement, it's always good to try it and see if it leads to an obvious problem before finally adopting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E9" w15:done="0"/>
  <w15:commentEx w15:paraId="000000EA" w15:done="0"/>
  <w15:commentEx w15:paraId="000000EB" w15:done="0"/>
  <w15:commentEx w15:paraId="000000EC" w15:done="0"/>
  <w15:commentEx w15:paraId="000000ED" w15:done="0"/>
  <w15:commentEx w15:paraId="000000EE" w15:done="0"/>
  <w15:commentEx w15:paraId="000000F7" w15:done="0"/>
  <w15:commentEx w15:paraId="000000F8" w15:paraIdParent="000000F7" w15:done="0"/>
  <w15:commentEx w15:paraId="000000F9" w15:paraIdParent="000000F7" w15:done="0"/>
  <w15:commentEx w15:paraId="000000FA" w15:done="0"/>
  <w15:commentEx w15:paraId="000000FB" w15:done="0"/>
  <w15:commentEx w15:paraId="000000FC" w15:paraIdParent="000000FB" w15:done="0"/>
  <w15:commentEx w15:paraId="000000FD" w15:done="0"/>
  <w15:commentEx w15:paraId="00000104" w15:done="0"/>
  <w15:commentEx w15:paraId="00000105" w15:paraIdParent="000001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Courier New"/>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3" w:before="0" w:line="259" w:lineRule="auto"/>
        <w:ind w:left="204" w:right="0" w:hanging="204"/>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Department of Political Science &amp; Kroc Institute, University of Notre Dame. Email: </w:t>
      </w:r>
      <w:r w:rsidDel="00000000" w:rsidR="00000000" w:rsidRPr="00000000">
        <w:rPr>
          <w:rFonts w:ascii="Times New Roman" w:cs="Times New Roman" w:eastAsia="Times New Roman" w:hAnsi="Times New Roman"/>
          <w:b w:val="0"/>
          <w:i w:val="0"/>
          <w:smallCaps w:val="0"/>
          <w:strike w:val="0"/>
          <w:color w:val="0000ff"/>
          <w:sz w:val="16"/>
          <w:szCs w:val="16"/>
          <w:u w:val="none"/>
          <w:shd w:fill="auto" w:val="clear"/>
          <w:vertAlign w:val="baseline"/>
          <w:rtl w:val="0"/>
        </w:rPr>
        <w:t xml:space="preserve">pmcquest@nd.edu</w:t>
      </w:r>
      <w:r w:rsidDel="00000000" w:rsidR="00000000" w:rsidRPr="00000000">
        <w:rPr>
          <w:rtl w:val="0"/>
        </w:rPr>
      </w:r>
    </w:p>
  </w:footnote>
  <w:footnote w:id="1">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3" w:before="0" w:line="259" w:lineRule="auto"/>
        <w:ind w:left="208" w:right="0" w:hanging="204"/>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Department of Political Science, University of Notre Dame. Email: </w:t>
      </w:r>
      <w:r w:rsidDel="00000000" w:rsidR="00000000" w:rsidRPr="00000000">
        <w:rPr>
          <w:rFonts w:ascii="Times New Roman" w:cs="Times New Roman" w:eastAsia="Times New Roman" w:hAnsi="Times New Roman"/>
          <w:b w:val="0"/>
          <w:i w:val="0"/>
          <w:smallCaps w:val="0"/>
          <w:strike w:val="0"/>
          <w:color w:val="0000ff"/>
          <w:sz w:val="16"/>
          <w:szCs w:val="16"/>
          <w:u w:val="none"/>
          <w:shd w:fill="auto" w:val="clear"/>
          <w:vertAlign w:val="baseline"/>
          <w:rtl w:val="0"/>
        </w:rPr>
        <w:t xml:space="preserve">mcoppedg@nd.edu</w:t>
      </w:r>
      <w:r w:rsidDel="00000000" w:rsidR="00000000" w:rsidRPr="00000000">
        <w:rPr>
          <w:rtl w:val="0"/>
        </w:rPr>
      </w:r>
    </w:p>
  </w:footnote>
  <w:footnote w:id="2">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Department of Applied and Computational Mathematics and Statistics, University of Notre Dame. Email: </w:t>
      </w:r>
      <w:r w:rsidDel="00000000" w:rsidR="00000000" w:rsidRPr="00000000">
        <w:rPr>
          <w:rFonts w:ascii="Times New Roman" w:cs="Times New Roman" w:eastAsia="Times New Roman" w:hAnsi="Times New Roman"/>
          <w:b w:val="0"/>
          <w:i w:val="0"/>
          <w:smallCaps w:val="0"/>
          <w:strike w:val="0"/>
          <w:color w:val="0000ff"/>
          <w:sz w:val="16"/>
          <w:szCs w:val="16"/>
          <w:u w:val="none"/>
          <w:shd w:fill="auto" w:val="clear"/>
          <w:vertAlign w:val="baseline"/>
          <w:rtl w:val="0"/>
        </w:rPr>
        <w:t xml:space="preserve">msisk1@nd.edu</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rFonts w:ascii="Times New Roman" w:cs="Times New Roman" w:eastAsia="Times New Roman" w:hAnsi="Times New Roman"/>
        <w:b w:val="1"/>
        <w:i w:val="0"/>
        <w:strike w:val="0"/>
        <w:color w:val="000000"/>
        <w:sz w:val="29"/>
        <w:szCs w:val="29"/>
        <w:u w:val="none"/>
        <w:shd w:fill="auto" w:val="clear"/>
        <w:vertAlign w:val="baseline"/>
      </w:rPr>
    </w:lvl>
    <w:lvl w:ilvl="1">
      <w:start w:val="1"/>
      <w:numFmt w:val="decimal"/>
      <w:lvlText w:val="%1.%2"/>
      <w:lvlJc w:val="left"/>
      <w:pPr>
        <w:ind w:left="0" w:firstLine="0"/>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080" w:hanging="1080"/>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1800" w:hanging="1800"/>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2520" w:hanging="2520"/>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240" w:hanging="3240"/>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3960" w:hanging="3960"/>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4680" w:hanging="4680"/>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5400" w:hanging="5400"/>
      </w:pPr>
      <w:rPr>
        <w:rFonts w:ascii="Times New Roman" w:cs="Times New Roman" w:eastAsia="Times New Roman" w:hAnsi="Times New Roman"/>
        <w:b w:val="1"/>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spacing w:after="5" w:line="423"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71" w:before="0" w:line="259" w:lineRule="auto"/>
      <w:ind w:left="10" w:right="0" w:hanging="10"/>
      <w:jc w:val="left"/>
    </w:pPr>
    <w:rPr>
      <w:rFonts w:ascii="Times New Roman" w:cs="Times New Roman" w:eastAsia="Times New Roman" w:hAnsi="Times New Roman"/>
      <w:b w:val="1"/>
      <w:i w:val="0"/>
      <w:smallCaps w:val="0"/>
      <w:strike w:val="0"/>
      <w:color w:val="000000"/>
      <w:sz w:val="29"/>
      <w:szCs w:val="29"/>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53" w:before="0" w:line="265" w:lineRule="auto"/>
      <w:ind w:left="10" w:right="0"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5" w:line="423" w:lineRule="auto"/>
      <w:ind w:left="10" w:hanging="10"/>
      <w:jc w:val="both"/>
    </w:pPr>
    <w:rPr>
      <w:rFonts w:ascii="Times New Roman" w:cs="Times New Roman" w:eastAsia="Times New Roman" w:hAnsi="Times New Roman"/>
      <w:color w:val="000000"/>
      <w:sz w:val="20"/>
    </w:rPr>
  </w:style>
  <w:style w:type="paragraph" w:styleId="Heading1">
    <w:name w:val="heading 1"/>
    <w:next w:val="Normal"/>
    <w:link w:val="Heading1Char"/>
    <w:uiPriority w:val="9"/>
    <w:qFormat w:val="1"/>
    <w:pPr>
      <w:keepNext w:val="1"/>
      <w:keepLines w:val="1"/>
      <w:numPr>
        <w:numId w:val="2"/>
      </w:numPr>
      <w:spacing w:after="371" w:line="259" w:lineRule="auto"/>
      <w:ind w:left="10" w:hanging="10"/>
      <w:outlineLvl w:val="0"/>
    </w:pPr>
    <w:rPr>
      <w:rFonts w:ascii="Times New Roman" w:cs="Times New Roman" w:eastAsia="Times New Roman" w:hAnsi="Times New Roman"/>
      <w:b w:val="1"/>
      <w:color w:val="000000"/>
      <w:sz w:val="29"/>
    </w:rPr>
  </w:style>
  <w:style w:type="paragraph" w:styleId="Heading2">
    <w:name w:val="heading 2"/>
    <w:next w:val="Normal"/>
    <w:link w:val="Heading2Char"/>
    <w:uiPriority w:val="9"/>
    <w:unhideWhenUsed w:val="1"/>
    <w:qFormat w:val="1"/>
    <w:pPr>
      <w:keepNext w:val="1"/>
      <w:keepLines w:val="1"/>
      <w:numPr>
        <w:ilvl w:val="1"/>
        <w:numId w:val="2"/>
      </w:numPr>
      <w:spacing w:after="353" w:line="265" w:lineRule="auto"/>
      <w:ind w:left="10" w:hanging="10"/>
      <w:outlineLvl w:val="1"/>
    </w:pPr>
    <w:rPr>
      <w:rFonts w:ascii="Times New Roman" w:cs="Times New Roman" w:eastAsia="Times New Roman" w:hAnsi="Times New Roman"/>
      <w:b w:val="1"/>
      <w:color w:val="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Times New Roman" w:cs="Times New Roman" w:eastAsia="Times New Roman" w:hAnsi="Times New Roman"/>
      <w:b w:val="1"/>
      <w:color w:val="000000"/>
      <w:sz w:val="24"/>
    </w:rPr>
  </w:style>
  <w:style w:type="paragraph" w:styleId="footnotedescription" w:customStyle="1">
    <w:name w:val="footnote description"/>
    <w:next w:val="Normal"/>
    <w:link w:val="footnotedescriptionChar"/>
    <w:hidden w:val="1"/>
    <w:pPr>
      <w:spacing w:after="33" w:line="259" w:lineRule="auto"/>
      <w:ind w:left="204"/>
    </w:pPr>
    <w:rPr>
      <w:rFonts w:ascii="Times New Roman" w:cs="Times New Roman" w:eastAsia="Times New Roman" w:hAnsi="Times New Roman"/>
      <w:color w:val="000000"/>
      <w:sz w:val="16"/>
    </w:rPr>
  </w:style>
  <w:style w:type="character" w:styleId="footnotedescriptionChar" w:customStyle="1">
    <w:name w:val="footnote description Char"/>
    <w:link w:val="footnotedescription"/>
    <w:rPr>
      <w:rFonts w:ascii="Times New Roman" w:cs="Times New Roman" w:eastAsia="Times New Roman" w:hAnsi="Times New Roman"/>
      <w:color w:val="000000"/>
      <w:sz w:val="16"/>
    </w:rPr>
  </w:style>
  <w:style w:type="character" w:styleId="Heading1Char" w:customStyle="1">
    <w:name w:val="Heading 1 Char"/>
    <w:link w:val="Heading1"/>
    <w:rPr>
      <w:rFonts w:ascii="Times New Roman" w:cs="Times New Roman" w:eastAsia="Times New Roman" w:hAnsi="Times New Roman"/>
      <w:b w:val="1"/>
      <w:color w:val="000000"/>
      <w:sz w:val="29"/>
    </w:rPr>
  </w:style>
  <w:style w:type="character" w:styleId="footnotemark" w:customStyle="1">
    <w:name w:val="footnote mark"/>
    <w:hidden w:val="1"/>
    <w:rPr>
      <w:rFonts w:ascii="Times New Roman" w:cs="Times New Roman" w:eastAsia="Times New Roman" w:hAnsi="Times New Roman"/>
      <w:color w:val="000000"/>
      <w:sz w:val="16"/>
      <w:vertAlign w:val="superscript"/>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0.0" w:type="dxa"/>
        <w:left w:w="0.0" w:type="dxa"/>
        <w:bottom w:w="0.0" w:type="dxa"/>
        <w:right w:w="12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www.cambridge.org/core/product/identifier/S1537592717000056/type/journal_article" TargetMode="External"/><Relationship Id="rId42" Type="http://schemas.openxmlformats.org/officeDocument/2006/relationships/footer" Target="footer2.xml"/><Relationship Id="rId41" Type="http://schemas.openxmlformats.org/officeDocument/2006/relationships/footer" Target="footer3.xml"/><Relationship Id="rId22" Type="http://schemas.openxmlformats.org/officeDocument/2006/relationships/hyperlink" Target="http://journals.sagepub.com/doi/10.1177/0010414012463905" TargetMode="External"/><Relationship Id="rId21" Type="http://schemas.openxmlformats.org/officeDocument/2006/relationships/hyperlink" Target="https://www.jstor.org/stable/2691713" TargetMode="External"/><Relationship Id="rId24" Type="http://schemas.openxmlformats.org/officeDocument/2006/relationships/hyperlink" Target="https://www.v-dem.net/data/dataset-archive/" TargetMode="External"/><Relationship Id="rId23" Type="http://schemas.openxmlformats.org/officeDocument/2006/relationships/hyperlink" Target="https://opus4.kobv.de/opus4-hsog/frontdoor/deliver/index/docId/80/file/520_hsog_wp_no._22.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muse.jhu.edu/article/379158" TargetMode="External"/><Relationship Id="rId25" Type="http://schemas.openxmlformats.org/officeDocument/2006/relationships/hyperlink" Target="http://www.eiu.com/public/democracy_index.aspx" TargetMode="External"/><Relationship Id="rId28" Type="http://schemas.openxmlformats.org/officeDocument/2006/relationships/hyperlink" Target="http://link.springer.com/10.1007/s12116-012-9117-4" TargetMode="External"/><Relationship Id="rId27" Type="http://schemas.openxmlformats.org/officeDocument/2006/relationships/hyperlink" Target="http://link.springer.com/10.1007/s12116-012-9117-4"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www.cambridge.org/core/product/identifier/S0003055422000934/type/journal_article"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freedomhouse.org/sites/default/files/Methodology_FIW_2015.pdf" TargetMode="External"/><Relationship Id="rId30" Type="http://schemas.openxmlformats.org/officeDocument/2006/relationships/hyperlink" Target="http://www.politicaygobierno.cide.edu/index.php/pyg/article/view/435" TargetMode="External"/><Relationship Id="rId11" Type="http://schemas.openxmlformats.org/officeDocument/2006/relationships/image" Target="media/image1.png"/><Relationship Id="rId33" Type="http://schemas.openxmlformats.org/officeDocument/2006/relationships/hyperlink" Target="https://www.ingentaconnect.com/content/10.5129/001041521X16007785801364" TargetMode="External"/><Relationship Id="rId10" Type="http://schemas.openxmlformats.org/officeDocument/2006/relationships/image" Target="media/image2.png"/><Relationship Id="rId32" Type="http://schemas.openxmlformats.org/officeDocument/2006/relationships/hyperlink" Target="https://www.cambridge.org/core/journals/political-analysis/article/irt-models-for-expertcoded-panel-data/69FF815364303D744DDD0228BE2B6EF3" TargetMode="External"/><Relationship Id="rId13" Type="http://schemas.openxmlformats.org/officeDocument/2006/relationships/image" Target="media/image4.png"/><Relationship Id="rId35" Type="http://schemas.openxmlformats.org/officeDocument/2006/relationships/hyperlink" Target="https://www.cambridge.org/core/product/identifier/S1047198700012559/type/journal_article" TargetMode="External"/><Relationship Id="rId12" Type="http://schemas.openxmlformats.org/officeDocument/2006/relationships/image" Target="media/image5.png"/><Relationship Id="rId34" Type="http://schemas.openxmlformats.org/officeDocument/2006/relationships/hyperlink" Target="https://www.ssrn.com/abstract=3236595" TargetMode="External"/><Relationship Id="rId15" Type="http://schemas.openxmlformats.org/officeDocument/2006/relationships/image" Target="media/image3.png"/><Relationship Id="rId37" Type="http://schemas.openxmlformats.org/officeDocument/2006/relationships/hyperlink" Target="https://www.jstor.org/stable/25053996" TargetMode="External"/><Relationship Id="rId14" Type="http://schemas.openxmlformats.org/officeDocument/2006/relationships/image" Target="media/image6.png"/><Relationship Id="rId36" Type="http://schemas.openxmlformats.org/officeDocument/2006/relationships/hyperlink" Target="https://www.tandfonline.com/doi/full/10.1080/13510347.2023.2183195" TargetMode="External"/><Relationship Id="rId17" Type="http://schemas.openxmlformats.org/officeDocument/2006/relationships/hyperlink" Target="https://ghsl.jrc.ec.europa.eu/CFS.php" TargetMode="External"/><Relationship Id="rId39" Type="http://schemas.openxmlformats.org/officeDocument/2006/relationships/hyperlink" Target="https://www.jstor.org/stable/424923" TargetMode="External"/><Relationship Id="rId16" Type="http://schemas.openxmlformats.org/officeDocument/2006/relationships/hyperlink" Target="https://datacatalog.worldbank.org/search/dataset/0038250" TargetMode="External"/><Relationship Id="rId38" Type="http://schemas.openxmlformats.org/officeDocument/2006/relationships/hyperlink" Target="http://journals.sagepub.com/doi/10.1177/0010414015581050" TargetMode="External"/><Relationship Id="rId19" Type="http://schemas.openxmlformats.org/officeDocument/2006/relationships/hyperlink" Target="https://colaboracion.dnp.gov.co/CDT/Estudios%20Econmicos/2015ago6%20Documento%20de%20Ruralidad%20-%20DDRS-MTC.pdf" TargetMode="External"/><Relationship Id="rId18" Type="http://schemas.openxmlformats.org/officeDocument/2006/relationships/hyperlink" Target="https://purr.purdue.edu/publications/29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kvDDg0ebQwOiw11Pal/49bfeIQ==">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2024-04-22T13:44:00Z</dcterms:created>
  <dc:creator>Patrick McQuestion, Michael Coppedge, Matthew Sisk</dc:creator>
</cp:coreProperties>
</file>