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sz w:val="40"/>
        </w:rPr>
        <w:t>Modular Adaptive Data Node (MAD - Node)</w:t>
        <w:br/>
        <w:t>for Dynamic Value Systems</w:t>
        <w:br/>
        <w:br/>
      </w:r>
    </w:p>
    <w:p>
      <w:pPr>
        <w:jc w:val="center"/>
      </w:pPr>
      <w:r>
        <w:rPr>
          <w:sz w:val="28"/>
        </w:rPr>
        <w:t>Compiled Project Documentation</w:t>
        <w:br/>
        <w:t>Chapters 1, 2, and 3</w:t>
        <w:br/>
        <w:br/>
        <w:br/>
        <w:br/>
      </w:r>
    </w:p>
    <w:p>
      <w:pPr>
        <w:jc w:val="center"/>
      </w:pPr>
      <w:r>
        <w:rPr>
          <w:sz w:val="24"/>
        </w:rPr>
        <w:t>Handcrafted By Peter Mthokozisi Dube</w:t>
        <w:br/>
        <w:br/>
        <w:t>Date: June 2, 2026</w:t>
        <w:br/>
      </w:r>
    </w:p>
    <w:p>
      <w:r>
        <w:br w:type="page"/>
      </w:r>
    </w:p>
    <w:p>
      <w:pPr>
        <w:pStyle w:val="Heading1"/>
        <w:spacing w:before="240" w:after="360"/>
      </w:pPr>
      <w:r>
        <w:rPr>
          <w:rFonts w:ascii="Times New Roman" w:hAnsi="Times New Roman"/>
          <w:b/>
        </w:rPr>
        <w:t>CHAPTER 1: INTRODUCTION</w:t>
      </w:r>
    </w:p>
    <w:p>
      <w:pPr>
        <w:pStyle w:val="Heading2"/>
        <w:spacing w:before="240" w:after="120"/>
      </w:pPr>
      <w:r>
        <w:rPr>
          <w:rFonts w:ascii="Times New Roman" w:hAnsi="Times New Roman"/>
          <w:b/>
        </w:rPr>
        <w:t>1.1 Background of the Study</w:t>
      </w:r>
    </w:p>
    <w:p>
      <w:pPr>
        <w:spacing w:after="120" w:line="276" w:lineRule="auto"/>
      </w:pPr>
      <w:r>
        <w:t>The proliferation of personal computing devices, such as smartphones, tablets, and laptops, has fundamentally transformed the digital landscape of urban and peri-urban centers across Zimbabwe. In regions like Bulawayo and neighboring districts such as Tsholotsho, mobile device penetration is steadily increasing. However, despite this growing digital footprint, a significant reservoir of computational power remains fundamentally untapped. For the majority of the day, the processors inside these personal devices sit idle, representing a latent, decentralized computing capacity that is currently wasted. Concurrently, these same communities face critical, localized challenges across primary economic and social sectors specifically in agriculture, public security, and commercial trade that desperately require data-driven, computationally intensive solutions.</w:t>
      </w:r>
    </w:p>
    <w:p>
      <w:pPr>
        <w:spacing w:after="120" w:line="276" w:lineRule="auto"/>
      </w:pPr>
      <w:r>
        <w:t>Historically, addressing complex technical challenges such as agricultural optimization, real-time security surveillance, and resilient commerce has relied on centralized, cloud-based infrastructure. While effective in highly developed infrastructure contexts, cloud-dependent paradigms often falter in regions like Bulawayo and Tsholotsho due to intermittent internet connectivity, high bandwidth costs, and latency issues. Localized problems demand localized solutions. Farmers require precise, microclimate-specific insights to optimize irrigation schedules and manage soil hydration; communities need intelligent, real-time perimeter security that does not rely on constant internet uplinks; and informal to small-scale vendors require resilient Point-of-Sale (POS) systems that maintain transaction integrity during connectivity blackouts.</w:t>
      </w:r>
    </w:p>
    <w:p>
      <w:pPr>
        <w:spacing w:after="120" w:line="276" w:lineRule="auto"/>
      </w:pPr>
      <w:r>
        <w:t>To bridge the gap between these pressing socio-economic challenges and the idle computational resources of the populace, there is a distinct need for a localized distributed computing framework. Edge computing and the Internet of Things (IoT) offer a pathway to bring data processing closer to the source of data generation. By creating a collaborative network where idle consumer devices can temporarily lend their processing power, communities can essentially build their own localized micro-clouds.</w:t>
      </w:r>
    </w:p>
    <w:p>
      <w:pPr>
        <w:spacing w:after="120" w:line="276" w:lineRule="auto"/>
      </w:pPr>
      <w:r>
        <w:t>It is within this context that the concept of the Modular Adaptive Data Node (MADN) emerges. Designed as a dynamic value system, the MADN seeks to harness this latent computational capacity through a tiered, hardware-efficient architecture. By utilizing accessible, open-source hardware specifically the Raspberry Pi 4 Model B as a central orchestration hub and Raspberry Pi Pico W units for edge-level data collection the MADN provides a scalable "seed." This framework is uniquely positioned to align with the social, political, and economic realities of the region, offering a plug-and-play, adaptable ecosystem. Through the MADN, everyday devices can be aggregated into a powerful distributed network, transforming idle silicon into actionable intelligence for agriculture, security, and local commerce.</w:t>
      </w:r>
    </w:p>
    <w:p>
      <w:pPr>
        <w:pStyle w:val="Heading2"/>
        <w:spacing w:before="240" w:after="120"/>
      </w:pPr>
      <w:r>
        <w:rPr>
          <w:rFonts w:ascii="Times New Roman" w:hAnsi="Times New Roman"/>
          <w:b/>
        </w:rPr>
        <w:t>1.2 Problem Statement</w:t>
      </w:r>
    </w:p>
    <w:p>
      <w:pPr>
        <w:spacing w:after="120" w:line="276" w:lineRule="auto"/>
      </w:pPr>
      <w:r>
        <w:t>​Despite the high penetration of smartphones, laptops, and other personal computing devices in Bulawayo and Tsholotsho, a vast reservoir of local computational power remains idle and unutilized for the majority of the day. Concurrently, these regions are hindered by critical, data-intensive challenges in three primary sectors: agriculture suffers from a lack of localized, microclimate-specific data processing to determine watering requirements and manage soil hydration; public security lacks intelligent, real-time edge processing for perimeter surveillance; and commercial vendors struggle with transaction inefficiencies and inventory management due to unreliable connectivity and the absence of resilient point-of-sale (POS) systems.</w:t>
      </w:r>
    </w:p>
    <w:p>
      <w:pPr>
        <w:spacing w:after="120" w:line="276" w:lineRule="auto"/>
      </w:pPr>
      <w:r>
        <w:t>​The core problem is that existing technological interventions rely heavily on expensive, centralized cloud computing architectures. These traditional systems are ill-suited for the local socio-economic and infrastructure realities, often failing due to intermittent internet access and high data costs. Currently, there is no viable, localized framework designed to seamlessly aggregate and orchestrate the latent processing capacity of ubiquitous personal devices to solve these regional issues.</w:t>
      </w:r>
    </w:p>
    <w:p>
      <w:pPr>
        <w:spacing w:after="120" w:line="276" w:lineRule="auto"/>
      </w:pPr>
      <w:r>
        <w:t>​Without a modular, adaptive system capable of horizontally scaling and utilizing this decentralized power, communities in Bulawayo and Tsholotsho remain dependent on fragile external infrastructure. Consequently, local farmers, security personnel, and small-scale vendors continue to operate sub-optimally, unable to leverage the powerful computing resources physically present within their own environments. This project addresses the critical absence of a decentralized, edge-orchestrated network specifically, the Modular Adaptive Data Node (MADN) needed to bridge the gap between idle local hardware and the pressing computational demands of regional agriculture, security, and commerce.</w:t>
      </w:r>
    </w:p>
    <w:p>
      <w:pPr>
        <w:spacing w:after="120" w:line="276" w:lineRule="auto"/>
      </w:pPr>
      <w:r>
        <w:t>The primary aim of this project is to design, develop, and implement the Modular Adaptive Data Node (MADN), a scalable, decentralized edge-computing framework. This system is designed to harness the latent, idle computational capacity of ubiquitous personal devices in Bulawayo and Tsholotsho. By utilizing a Raspberry Pi 4 Model B as an orchestration hub and Raspberry Pi Pico W units for edge data collection, the project aims to establish a localized, resilient computational network. This framework will dynamically process complex data to provide actionable solutions for localized soil moisture optimization and watering requirement determination, real-time public security surveillance, and resilient commercial point-of-sale operations, effectively bypassing the limitations of centralized cloud infrastructure.</w:t>
      </w:r>
    </w:p>
    <w:p>
      <w:pPr>
        <w:pStyle w:val="Heading2"/>
        <w:spacing w:before="240" w:after="120"/>
      </w:pPr>
      <w:r>
        <w:rPr>
          <w:rFonts w:ascii="Times New Roman" w:hAnsi="Times New Roman"/>
          <w:b/>
        </w:rPr>
        <w:t>1.4 Objectives of the Project</w:t>
      </w:r>
    </w:p>
    <w:p>
      <w:pPr>
        <w:spacing w:after="120" w:line="276" w:lineRule="auto"/>
      </w:pPr>
      <w:r>
        <w:t>​</w:t>
      </w:r>
    </w:p>
    <w:p>
      <w:pPr>
        <w:spacing w:after="120" w:line="276" w:lineRule="auto"/>
      </w:pPr>
      <w:r>
        <w:t>To achieve the overarching aim, the project will be guided by the following specific objectives:</w:t>
      </w:r>
    </w:p>
    <w:p>
      <w:pPr>
        <w:spacing w:after="120" w:line="276" w:lineRule="auto"/>
      </w:pPr>
      <w:r>
        <w:t>​1. To develop the MADN Orchestrator: To design and deploy a core infrastructure on a Raspberry Pi 4 Model B featuring a Dynamic Resource Scheduler capable of identifying, aggregating, and distributing computational tasks across idle guest devices (smartphones, laptops) and to establish an Open-Source API Gateway for system extensibility.</w:t>
      </w:r>
    </w:p>
    <w:p>
      <w:pPr>
        <w:spacing w:after="120" w:line="276" w:lineRule="auto"/>
      </w:pPr>
      <w:r>
        <w:t>​2. To implement the Agri-Analytics Engine: To configure Raspberry Pi Pico W edge nodes for real-time environmental data collection (moisture, pH, temperature) and process this data through a localized TensorFlow Lite irrigation prediction model (to determine watering requirements), tailored to the microclimates of Bulawayo and Tsholotsho.</w:t>
      </w:r>
    </w:p>
    <w:p>
      <w:pPr>
        <w:pStyle w:val="ListNumber"/>
        <w:spacing w:after="60"/>
        <w:ind w:left="360"/>
      </w:pPr>
      <w:r>
        <w:t>To engineer the Edge-Alert Security Gateway: To integrate low-power edge sensors (PIR and ultrasonic tripwires) with an Intelligent Alarm Hub on the primary node, utilizing lightweight trigger logic and state monitoring for real-time security alerts and perimeter defense.</w:t>
      </w:r>
    </w:p>
    <w:p>
      <w:pPr>
        <w:spacing w:after="120" w:line="276" w:lineRule="auto"/>
      </w:pPr>
      <w:r>
        <w:t>​4. To deploy the Mesh-POS System: To construct a local-first, resilient Distributed Micro-Transaction Ledger and an Inventory Synchronization Mesh that enables uninterrupted commercial transactions and digital stock monitoring for local vendors during connectivity fluctuations.</w:t>
      </w:r>
    </w:p>
    <w:p>
      <w:pPr>
        <w:pStyle w:val="Heading2"/>
        <w:spacing w:before="240" w:after="120"/>
      </w:pPr>
      <w:r>
        <w:rPr>
          <w:rFonts w:ascii="Times New Roman" w:hAnsi="Times New Roman"/>
          <w:b/>
        </w:rPr>
        <w:t>1.5 Research Questions</w:t>
      </w:r>
    </w:p>
    <w:p>
      <w:pPr>
        <w:spacing w:after="120" w:line="276" w:lineRule="auto"/>
      </w:pPr>
      <w:r>
        <w:t>To guide the development and evaluation of the MADN framework, this study seeks to answer the following research questions:</w:t>
      </w:r>
    </w:p>
    <w:p>
      <w:pPr>
        <w:spacing w:after="120" w:line="276" w:lineRule="auto"/>
      </w:pPr>
      <w:r>
        <w:t>​1. How can a Dynamic Resource Scheduler on a Raspberry Pi 4 efficiently aggregate and distribute complex computational tasks across a decentralized network of heterogeneous, idle personal devices in a resource-constrained environment?</w:t>
      </w:r>
    </w:p>
    <w:p>
      <w:pPr>
        <w:spacing w:after="120" w:line="276" w:lineRule="auto"/>
      </w:pPr>
      <w:r>
        <w:t>​2. To what extent can localized edge processing via TensorFlow Lite, using microclimate data (moisture, pH, temperature) collected from Raspberry Pi Pico W nodes, improve the accuracy of localized irrigation and watering requirement predictions for farmers in Bulawayo and Tsholotsho compared to traditional methods?</w:t>
      </w:r>
    </w:p>
    <w:p>
      <w:pPr>
        <w:spacing w:after="120" w:line="276" w:lineRule="auto"/>
      </w:pPr>
      <w:r>
        <w:t>​3. How effectively can a localized security alert system utilize edge-triggered sensors (PIR, ultrasonic) to perform real-time intrusion detection and perimeter security alerts without relying on continuous cloud connectivity?</w:t>
      </w:r>
    </w:p>
    <w:p>
      <w:pPr>
        <w:spacing w:after="120" w:line="276" w:lineRule="auto"/>
      </w:pPr>
      <w:r>
        <w:t>​4. What architectural design is required to establish a resilient, local-first Distributed Micro-Transaction Ledger that ensures seamless commercial operations and stock synchronization during periods of intermittent internet access?</w:t>
      </w:r>
    </w:p>
    <w:p>
      <w:pPr>
        <w:spacing w:after="120" w:line="276" w:lineRule="auto"/>
      </w:pPr>
      <w:r>
        <w:t>​1.6 Scope of the Project</w:t>
      </w:r>
    </w:p>
    <w:p>
      <w:pPr>
        <w:spacing w:after="120" w:line="276" w:lineRule="auto"/>
      </w:pPr>
      <w:r>
        <w:t>​The scope of this project is defined by geographical, hardware, functional, and target demographic boundaries to ensure a focused and achievable implementation:</w:t>
      </w:r>
    </w:p>
    <w:p>
      <w:pPr>
        <w:spacing w:after="120" w:line="276" w:lineRule="auto"/>
      </w:pPr>
      <w:r>
        <w:t>​Geographical Boundary: The deployment, testing, and data modelling for the system will be strictly localized to the specific microclimates, urban environments, and peri-urban agricultural zones of Bulawayo and the Tsholotsho district.</w:t>
      </w:r>
    </w:p>
    <w:p>
      <w:pPr>
        <w:spacing w:after="120" w:line="276" w:lineRule="auto"/>
      </w:pPr>
      <w:r>
        <w:t>​Hardware Boundary: The physical infrastructure is constrained to a core "seed" setup comprising one (1) Raspberry Pi 4 Model B acting as the central orchestration hub, and two (2) Raspberry Pi Pico W microcontrollers acting as edge "leaf" nodes. The scope also includes the software-level integration of existing third-party idle devices (e.g., local smartphones and laptops) acting as temporary computational "guest" nodes and mobile POS client terminals. The project will not involve the design or manufacturing of custom printed circuit boards (PCBs).</w:t>
      </w:r>
    </w:p>
    <w:p>
      <w:pPr>
        <w:spacing w:after="120" w:line="276" w:lineRule="auto"/>
      </w:pPr>
      <w:r>
        <w:t>​Functional Boundary: The software and system architecture will focus exclusively on developing the four proposed pillars:</w:t>
      </w:r>
    </w:p>
    <w:p>
      <w:pPr>
        <w:spacing w:after="120" w:line="276" w:lineRule="auto"/>
      </w:pPr>
      <w:r>
        <w:t>​The MADN Orchestrator (Dynamic Resource Scheduler, API Gateway).</w:t>
      </w:r>
    </w:p>
    <w:p>
      <w:pPr>
        <w:spacing w:after="120" w:line="276" w:lineRule="auto"/>
      </w:pPr>
      <w:r>
        <w:t>​The Agri-Analytics Engine (MQTT telemetry, InfluxDB/Grafana, and TensorFlow Lite irrigation and watering requirement modeling).</w:t>
      </w:r>
    </w:p>
    <w:p>
      <w:pPr>
        <w:spacing w:after="120" w:line="276" w:lineRule="auto"/>
      </w:pPr>
      <w:r>
        <w:t>The Edge-Alert Security Gateway (PIR/ultrasonic sensor integration and real-time state alerts).</w:t>
      </w:r>
    </w:p>
    <w:p>
      <w:pPr>
        <w:spacing w:after="120" w:line="276" w:lineRule="auto"/>
      </w:pPr>
      <w:r>
        <w:t>​The Mesh-POS System (Distributed Micro-Transaction Ledger and Inventory Synchronization).</w:t>
      </w:r>
    </w:p>
    <w:p>
      <w:pPr>
        <w:spacing w:after="120" w:line="276" w:lineRule="auto"/>
      </w:pPr>
      <w:r>
        <w:t>​Exclusions: The project deliberately excludes cloud-dependent processing paradigms. All computation must be edge-native or localized. Furthermore, while the MADN is a modular framework, this initial study will not develop applications outside of the three targeted sectors (agriculture, security, commerce); other potential domains such as healthcare or smart transportation are beyond the current scope.</w:t>
      </w:r>
    </w:p>
    <w:p>
      <w:pPr>
        <w:pStyle w:val="Heading2"/>
        <w:spacing w:before="240" w:after="120"/>
      </w:pPr>
      <w:r>
        <w:rPr>
          <w:rFonts w:ascii="Times New Roman" w:hAnsi="Times New Roman"/>
          <w:b/>
        </w:rPr>
        <w:t>1.7 Significance of the Study</w:t>
      </w:r>
    </w:p>
    <w:p>
      <w:pPr>
        <w:spacing w:after="120" w:line="276" w:lineRule="auto"/>
      </w:pPr>
      <w:r>
        <w:t>​This study holds substantial technical, economic, and social significance by offering a paradigm shift from reliance on centralized cloud infrastructure to a localized, community-driven edge computing model. The significance of the MADN project can be understood across the following dimensions:</w:t>
      </w:r>
    </w:p>
    <w:p>
      <w:pPr>
        <w:spacing w:after="120" w:line="276" w:lineRule="auto"/>
      </w:pPr>
      <w:r>
        <w:t>​Technological Innovation: Academically and technically, this study demonstrates the viability of horizontal scaling within resource-constrained environments. By proving that a low-cost Raspberry Pi framework can successfully orchestrate the idle processing power of heterogeneous consumer devices, this research contributes to the growing body of knowledge on decentralized edge computing, IoT resilience, and localized machine learning (TensorFlow Lite at the edge).</w:t>
      </w:r>
    </w:p>
    <w:p>
      <w:pPr>
        <w:spacing w:after="120" w:line="276" w:lineRule="auto"/>
      </w:pPr>
      <w:r>
        <w:t>​Agricultural Advancement: For farmers in Bulawayo and Tsholotsho, the Agri-Analytics Engine translates raw, localized environmental data into actionable soil hydration and watering requirement predictions. This precision agriculture approach, tailored specifically to local microclimates rather than generalized regional data, empowers smallholder farmers to optimize resource usage, improve food security, and mitigate the impacts of climate variability without incurring ongoing cloud-subscription costs.</w:t>
      </w:r>
    </w:p>
    <w:p>
      <w:pPr>
        <w:spacing w:after="120" w:line="276" w:lineRule="auto"/>
      </w:pPr>
      <w:r>
        <w:t>Public Security Enhancement: The Edge-Alert Security Gateway provides communities with an intelligent, low-power, and affordable security solution. By utilizing localized edge triggers (PIR and ultrasonic sensors) to detect intrusions and transmit immediate alerts, it circumvents the high costs and bandwidth requirements of camera-based surveillance and traditional CCTV, offering robust perimeter defense even in areas with poor internet connectivity.</w:t>
      </w:r>
    </w:p>
    <w:p>
      <w:pPr>
        <w:spacing w:after="120" w:line="276" w:lineRule="auto"/>
      </w:pPr>
      <w:r>
        <w:t>​Economic Resilience: The Mesh-POS System directly addresses the digital divide and operational vulnerabilities faced by informal and small-scale vendors. By ensuring transaction continuity and synchronized inventory management independent of internet stability, the project fosters a resilient local economy, facilitating smoother trade and supporting the transition to digital marketplaces for grassroots businesses.</w:t>
      </w:r>
    </w:p>
    <w:p>
      <w:pPr>
        <w:spacing w:after="120" w:line="276" w:lineRule="auto"/>
      </w:pPr>
      <w:r>
        <w:t>​Community Empowerment through Open Source: By adopting an open-source philosophy and providing an API Gateway, the MADN is positioned not just as a static product, but as a technological "seed." It invites local software engineers and tech enthusiasts to collaborate, build upon the framework, and develop new applications, thereby fostering a sustainable, self-reliant technological ecosystem in Zimbabwe.</w:t>
      </w:r>
    </w:p>
    <w:p>
      <w:pPr>
        <w:spacing w:after="120" w:line="276" w:lineRule="auto"/>
      </w:pPr>
      <w:r>
        <w:t>​1.8 Project Structure Overview</w:t>
      </w:r>
    </w:p>
    <w:p>
      <w:pPr>
        <w:spacing w:after="120" w:line="276" w:lineRule="auto"/>
      </w:pPr>
      <w:r>
        <w:t>​This document is systematically organized into six primary chapters, followed by references and supplementary appendices, to provide a comprehensive and structured overview of the MADN project from conception to evaluation:</w:t>
      </w:r>
    </w:p>
    <w:p>
      <w:pPr>
        <w:spacing w:after="120" w:line="276" w:lineRule="auto"/>
      </w:pPr>
      <w:r>
        <w:t>​Chapter 1: Introduction: Sets the context of the study, defining the background, problem statement, overarching aim, specific objectives, research questions, scope, and the study's overall significance.</w:t>
      </w:r>
    </w:p>
    <w:p>
      <w:pPr>
        <w:spacing w:after="120" w:line="276" w:lineRule="auto"/>
      </w:pPr>
      <w:r>
        <w:t>​Chapter 2: Literature Review: Explores the theoretical background and state-of-the-art technologies related to edge computing, distributed networks, precision agriculture, embedded computer vision, and resilient commerce. This chapter critically reviews existing systems to explicitly identify the technological gaps the MADN framework aims to fill.</w:t>
      </w:r>
    </w:p>
    <w:p>
      <w:pPr>
        <w:spacing w:after="120" w:line="276" w:lineRule="auto"/>
      </w:pPr>
      <w:r>
        <w:t>​Chapter 3: Methodology: Outlines the core research design and the methodological approach used to construct the MADN. It details the system requirements (both hardware and software), initial system design (including block and flow diagrams), tools utilized, development procedures, testing methodologies, and essential ethical and safety considerations.</w:t>
      </w:r>
    </w:p>
    <w:p>
      <w:pPr>
        <w:spacing w:after="120" w:line="276" w:lineRule="auto"/>
      </w:pPr>
      <w:r>
        <w:t>​Chapter 4: System Design and Prototype Development: Provides an in-depth, technical exploration of the MADN architecture. It details the prototype construction combining the Raspberry Pi 4 and Pico W nodes, component integration, programming logic for the four core pillars, as well as a transparent review of development challenges encountered and their respective solutions.</w:t>
      </w:r>
    </w:p>
    <w:p>
      <w:pPr>
        <w:spacing w:after="120" w:line="276" w:lineRule="auto"/>
      </w:pPr>
      <w:r>
        <w:t>​Chapter 5: Results, Testing and Analysis: Presents the empirical data gathered from rigorous system testing. It covers testing procedures, test results, and data analysis to evaluate system performance. Furthermore, it compares the MADN against existing cloud-reliant systems and offers a comprehensive discussion of the findings in relation to the initial research questions.</w:t>
      </w:r>
    </w:p>
    <w:p>
      <w:pPr>
        <w:spacing w:after="120" w:line="276" w:lineRule="auto"/>
      </w:pPr>
      <w:r>
        <w:t>​Chapter 6: Conclusions and Recommendations: Summarizes the project's key findings, evaluating its success against the established objectives. This final chapter also outlines the limitations of the current prototype and provides actionable recommendations for future research, system scaling, and real-world deployment.</w:t>
      </w:r>
    </w:p>
    <w:p>
      <w:pPr>
        <w:spacing w:after="120" w:line="276" w:lineRule="auto"/>
      </w:pPr>
      <w:r>
        <w:t>​References &amp; Appendices: The main document is supported by a comprehensive bibliography formatted in IEEE style. The Appendices provide critical supplementary material, including detailed circuit diagrams (Appendix A), core source code (Appendix B), any relevant questionnaires (Appendix C), a complete Cost Analysis/Bill of Quantities (Appendix D), the project Gantt Chart (Appendix E), and a functional User Manual for the MADN system (Appendix F).</w:t>
      </w:r>
    </w:p>
    <w:p>
      <w:r>
        <w:br w:type="page"/>
      </w:r>
    </w:p>
    <w:p>
      <w:pPr>
        <w:pStyle w:val="Heading1"/>
        <w:spacing w:before="240" w:after="360"/>
      </w:pPr>
      <w:r>
        <w:rPr>
          <w:rFonts w:ascii="Times New Roman" w:hAnsi="Times New Roman"/>
          <w:b/>
        </w:rPr>
        <w:t>Chapter 2 Literature Review</w:t>
      </w:r>
    </w:p>
    <w:p>
      <w:pPr>
        <w:pStyle w:val="Heading2"/>
        <w:spacing w:before="240" w:after="120"/>
      </w:pPr>
      <w:r>
        <w:rPr>
          <w:rFonts w:ascii="Times New Roman" w:hAnsi="Times New Roman"/>
          <w:b/>
        </w:rPr>
        <w:t>2.1 Introduction</w:t>
      </w:r>
    </w:p>
    <w:p>
      <w:pPr>
        <w:spacing w:after="120" w:line="276" w:lineRule="auto"/>
      </w:pPr>
      <w:r>
        <w:t>The theoretical and technological foundations of the Modular Adaptive Data Node (MADN) are</w:t>
      </w:r>
    </w:p>
    <w:p>
      <w:pPr>
        <w:spacing w:after="120" w:line="276" w:lineRule="auto"/>
      </w:pPr>
      <w:r>
        <w:t>rooted in the shift away from centralized computing architectures toward localized, decentralized</w:t>
      </w:r>
    </w:p>
    <w:p>
      <w:pPr>
        <w:spacing w:after="120" w:line="276" w:lineRule="auto"/>
      </w:pPr>
      <w:r>
        <w:t>models \[24, 26]. This chapter explores the theoretical background of edge computing, distributed networks, precision agriculture, embedded computer vision, and resilient commerce \[24, 26]. In doing so, it situates MADN within a broader effort to design intelligent systems that remain functional, adaptive, and context-aware in environments with limited infrastructure \[34]. It also establishes the conceptual basis for understanding why locally coordinated computing can offer a more resilient alternative to cloud-dependent service delivery in underserved settings \[35]. More specifically, the chapter evaluates the literature through the interconnected lenses of latency, resilience, scalability, affordability, and contextual suitability, since these criteria determine whether advanced computational systems remain practically usable in resource-constrained environments \[26, 34, 35, 37]. It critically reviews existing technologies that attempt to address data-driven challenges in agriculture, public security, and commerce, and explicitly identifies the technological gaps that the MADN framework aims to fill \[25, 27].</w:t>
      </w:r>
    </w:p>
    <w:p>
      <w:pPr>
        <w:pStyle w:val="Heading2"/>
        <w:spacing w:before="240" w:after="120"/>
      </w:pPr>
      <w:r>
        <w:rPr>
          <w:rFonts w:ascii="Times New Roman" w:hAnsi="Times New Roman"/>
          <w:b/>
        </w:rPr>
        <w:t>2.2 Theoretical Background</w:t>
      </w:r>
    </w:p>
    <w:p>
      <w:pPr>
        <w:spacing w:after="120" w:line="276" w:lineRule="auto"/>
      </w:pPr>
      <w:r>
        <w:t>The conceptualization of the MADN framework relies on several key technological paradigms:</w:t>
      </w:r>
    </w:p>
    <w:p>
      <w:pPr>
        <w:spacing w:after="120" w:line="276" w:lineRule="auto"/>
      </w:pPr>
      <w:r>
        <w:t>•</w:t>
        <w:tab/>
        <w:t>Edge Computing and the Internet of Things (IoT): Edge computing and IoT offer a pathway to bring data processing closer to the source of data generation \[8, 31]. By shifting the computational burden from fragile external cloud networks to a resilient, community-driven 1 edge ecosystem, systems can dynamically process complex data locally \[1, 2, 18].</w:t>
      </w:r>
    </w:p>
    <w:p>
      <w:pPr>
        <w:spacing w:after="120" w:line="276" w:lineRule="auto"/>
      </w:pPr>
      <w:r>
        <w:t>•</w:t>
        <w:tab/>
        <w:t>Distributed and Latent Computing: The proliferation of personal computing devices, such as smartphones, tablets, and laptops, has transformed the digital landscape \[28]. For most of the day, the processors inside these personal devices sit idle, representing a latent, decentralized computing capacity that is currently wasted \[3, 29]. By creating a collaborative network where idle consumer devices can temporarily lend their processing power, communities can essentially build their own localized micro-clouds \[9, 32].</w:t>
      </w:r>
    </w:p>
    <w:p>
      <w:pPr>
        <w:spacing w:after="120" w:line="276" w:lineRule="auto"/>
      </w:pPr>
      <w:r>
        <w:t>•</w:t>
        <w:tab/>
        <w:t>Embedded Machine Learning: The deployment of lightweight machine learning models at the edge, such as TensorFlow Lite for agricultural irrigation and watering requirement prediction, forms the basis for extracting actionable intelligence without cloud dependency \[19, 20, 21].</w:t>
      </w:r>
    </w:p>
    <w:p>
      <w:pPr>
        <w:spacing w:after="120" w:line="276" w:lineRule="auto"/>
      </w:pPr>
      <w:r>
        <w:t>Although these paradigms are closely related, the literature distinguishes them in analytically important ways. Edge computing emphasizes placing computation near data sources to reduce latency and improve responsiveness; distributed computing concerns the coordination of multiple computational nodes; latent computing focuses on mobilizing otherwise idle devices; and hybrid edge–cloud models address how these resources can be orchestrated across different infrastructure layers \[8, 9, 16, 31, 32]. Recognizing these distinctions is important for MADN because the framework does not depend on a single paradigm in isolation. Rather, it combines locality of processing, cooperation among heterogeneous devices, opportunistic use of idle resources, and selective access to cloud services into a unified architectural logic \[16, 31, 33].</w:t>
      </w:r>
    </w:p>
    <w:p>
      <w:pPr>
        <w:spacing w:after="120" w:line="276" w:lineRule="auto"/>
      </w:pPr>
      <w:r>
        <w:t>From this perspective, MADN should be understood not as an edge-only architecture, but as a hybrid edge–cloud system operating across a broader computing continuum. Its primary logic remains local and edge-oriented so that latency-sensitive, connectivity-critical, and context-dependent functions can continue operating close to users and data sources. However, whenever network conditions, bandwidth, and service availability permit, the framework can also leverage cloud infrastructure for computationally intensive analytics, long-term data retention, cross-node synchronization, model training, and elastic scaling of services beyond the limitations of local hardware. This hybrid orientation is important because cloud platforms provide rapid elasticity, resource pooling, and on-demand access to high-capacity compute and storage resources, while edge layers provide responsiveness, locality, and operational resilience under constrained conditions \[31, 33, 36, 37]. In practical terms, this means that tasks such as immediate sensing, local inference, temporary data buffering, and continuity of transactions are better retained near the edge, whereas aggregated analytics, historical archiving, multi-node synchronization, and computationally intensive model refinement may be shifted to cloud infrastructure when connectivity conditions are favourable \[6, 12, 19, 31, 36, 37]. Accordingly, the architectural value of MADN lies not in rejecting cloud computing, but in selectively integrating cloud capabilities when they enhance flexibility, coordination, and overall system capability without undermining offline resilience \[31, 33, 37].</w:t>
      </w:r>
    </w:p>
    <w:p>
      <w:pPr>
        <w:spacing w:after="120" w:line="276" w:lineRule="auto"/>
      </w:pPr>
      <w:r>
        <w:t>In innovation studies, a technological paradigm refers to a shared model of problem framing and 2 solution searches that channels technical development along particular trajectories, while ecosystem scholarship emphasizes the interdependent constellation of actors, artifacts, and complementarities through which value is created and captured \[38, 39]. Read together, these perspectives suggest that a technological ecosystem can be understood as the organizational and material instantiation of a paradigm, because the rules, interfaces, and complementarities of an ecosystem shape what kinds of innovation become visible, feasible, and scalable \[38, 39, 45]. Mature platform ecosystems illustrate this dynamic clearly: ecosystems such as Apple’s App Store and Android provide not only distribution channels but also development rules, governance mechanisms, and technical dependencies that condition how developers search for solutions and bring them to market \[39, 40, 41].</w:t>
      </w:r>
    </w:p>
    <w:p>
      <w:pPr>
        <w:spacing w:after="120" w:line="276" w:lineRule="auto"/>
      </w:pPr>
      <w:r>
        <w:t>In the case of edge computing, the search space is similarly conditioned by the infrastructural logic of locality, latency sensitivity, and constrained device resources \[31, 33, 37]. Developers working in edge-oriented environments therefore tend to prioritize model compression, energy-aware execution, and hardware-constrained deployment over default reliance on centralized offloading, especially when targeting devices such as Raspberry Pi Pico W-class hardware or GPU-oriented environments such as CUDA-enabled systems \[19, 20, 42, 43]. In this sense, ecosystems do not merely host innovation; they delimit and enable it by defining the boundary conditions within which optimization and interoperability must occur \[38, 39, 45].</w:t>
      </w:r>
    </w:p>
    <w:p>
      <w:pPr>
        <w:spacing w:after="120" w:line="276" w:lineRule="auto"/>
      </w:pPr>
      <w:r>
        <w:t>MADN can therefore be conceptualized as an architectural bridge across heterogeneous and partially closed digital ecosystems whose governance structures channel innovation through platform specific rules, interfaces, and boundary resources \[39, 45, 46]. Rather than if openness already exists, the framework can leverage APIs and SDKs as practical mechanisms for negotiated interoperability, because these interfaces increasingly structure how external actors access platform capabilities, coordinate services, and extend existing functionality \[43, 44, 46]. Official development environments such as NVIDIA CUDA and Samsung Knox exemplify how contemporary interfaces have evolved beyond simple data exchange toward deeper forms of controlled integration with hardware, security, and management layers \[43, 44]. For MADN, this means interoperability should be pursued not as abstraction detached from existing platforms, but as modular integration that can operate within platform logics while preserving local autonomy and cross-ecosystem coordination \[33, 37, 46].</w:t>
      </w:r>
    </w:p>
    <w:p>
      <w:pPr>
        <w:spacing w:after="120" w:line="276" w:lineRule="auto"/>
      </w:pPr>
      <w:r>
        <w:t>At the same time, platform and ecosystem research consistently shows that digital systems are socio-technical arrangements whose technical architectures are inseparable from governance, incentives, and patterns of human coordination \[39, 45]. Improvements in sensing, data collection, APIs, and computational methods can feed back into subsequent rounds of redesign, making system evolution increasingly iterative and path-dependent rather than purely linear \[19, 21, 46]. Accordingly, MADN should be viewed not only as a technical interoperability mechanism but also as a socio-technical intervention aimed at navigating fragmentation, improving local adaptability, and aligning digital infrastructure with contextual social and economic realities \[34, 35, 45].</w:t>
      </w:r>
    </w:p>
    <w:p>
      <w:pPr>
        <w:pStyle w:val="Heading2"/>
        <w:spacing w:before="240" w:after="120"/>
      </w:pPr>
      <w:r>
        <w:rPr>
          <w:rFonts w:ascii="Times New Roman" w:hAnsi="Times New Roman"/>
          <w:b/>
        </w:rPr>
        <w:t>2.3 Review of Existing Systems and Technologies</w:t>
      </w:r>
    </w:p>
    <w:p>
      <w:pPr>
        <w:spacing w:after="120" w:line="276" w:lineRule="auto"/>
      </w:pPr>
      <w:r>
        <w:t>Current technological interventions designed to solve localized challenges predominantly utilize</w:t>
      </w:r>
    </w:p>
    <w:p>
      <w:pPr>
        <w:spacing w:after="120" w:line="276" w:lineRule="auto"/>
      </w:pPr>
      <w:r>
        <w:t>centralized models:</w:t>
      </w:r>
    </w:p>
    <w:p>
      <w:pPr>
        <w:spacing w:after="120" w:line="276" w:lineRule="auto"/>
      </w:pPr>
      <w:r>
        <w:t>• Cloud-Reliant Precision Agriculture: Traditional agricultural optimization platforms</w:t>
      </w:r>
    </w:p>
    <w:p>
      <w:pPr>
        <w:spacing w:after="120" w:line="276" w:lineRule="auto"/>
      </w:pPr>
      <w:r>
        <w:t>process generalized regional data on remote servers [22]. While these models are technically</w:t>
      </w:r>
    </w:p>
    <w:p>
      <w:pPr>
        <w:spacing w:after="120" w:line="276" w:lineRule="auto"/>
      </w:pPr>
      <w:r>
        <w:t>robust, they require constant internet connectivity to transmit raw environmental metrics</w:t>
      </w:r>
    </w:p>
    <w:p>
      <w:pPr>
        <w:spacing w:after="120" w:line="276" w:lineRule="auto"/>
      </w:pPr>
      <w:r>
        <w:t>and receive actionable planting or irrigation insights back from the cloud [4].</w:t>
      </w:r>
    </w:p>
    <w:p>
      <w:pPr>
        <w:spacing w:after="120" w:line="276" w:lineRule="auto"/>
      </w:pPr>
      <w:r>
        <w:t>• Centralized Public Security Surveillance: Existing security and perimeter defense tech</w:t>
      </w:r>
    </w:p>
    <w:p>
      <w:pPr>
        <w:spacing w:after="120" w:line="276" w:lineRule="auto"/>
      </w:pPr>
      <w:r>
        <w:t>nologies heavily rely on traditional CCTV systems [23]. These architectures transmit con</w:t>
      </w:r>
    </w:p>
    <w:p>
      <w:pPr>
        <w:spacing w:after="120" w:line="276" w:lineRule="auto"/>
      </w:pPr>
      <w:r>
        <w:t>tinuous, high-bandwidth video feeds to central servers for storage and processing, relying on</w:t>
      </w:r>
    </w:p>
    <w:p>
      <w:pPr>
        <w:spacing w:after="120" w:line="276" w:lineRule="auto"/>
      </w:pPr>
      <w:r>
        <w:t>constant internet uplinks to function effectively [6, 23].</w:t>
      </w:r>
    </w:p>
    <w:p>
      <w:pPr>
        <w:spacing w:after="120" w:line="276" w:lineRule="auto"/>
      </w:pPr>
      <w:r>
        <w:t>• Cloud-Dependent Point-of-Sale (POS) Systems: Modern commercial trade and digital</w:t>
      </w:r>
    </w:p>
    <w:p>
      <w:pPr>
        <w:spacing w:after="120" w:line="276" w:lineRule="auto"/>
      </w:pPr>
      <w:r>
        <w:t>inventory tools are engineered to synchronize with remote databases. Informal and small-scale</w:t>
      </w:r>
    </w:p>
    <w:p>
      <w:pPr>
        <w:spacing w:after="120" w:line="276" w:lineRule="auto"/>
      </w:pPr>
      <w:r>
        <w:t>vendors currently utilize POS systems that demand stable internet connections to validate</w:t>
      </w:r>
    </w:p>
    <w:p>
      <w:pPr>
        <w:spacing w:after="120" w:line="276" w:lineRule="auto"/>
      </w:pPr>
      <w:r>
        <w:t>transactions and update stock [7, 12].</w:t>
      </w:r>
    </w:p>
    <w:p>
      <w:pPr>
        <w:spacing w:after="120" w:line="276" w:lineRule="auto"/>
      </w:pPr>
      <w:r>
        <w:t>Taken together, these systems demonstrate that contemporary digital interventions are often tech</w:t>
      </w:r>
    </w:p>
    <w:p>
      <w:pPr>
        <w:spacing w:after="120" w:line="276" w:lineRule="auto"/>
      </w:pPr>
      <w:r>
        <w:t>nically sophisticated yet operationally dependent on assumptions of stable connectivity, persistent</w:t>
      </w:r>
    </w:p>
    <w:p>
      <w:pPr>
        <w:spacing w:after="120" w:line="276" w:lineRule="auto"/>
      </w:pPr>
      <w:r>
        <w:t>cloud access, and adequate financial capacity for data-intensive services [4, 7, 22, 23]. This creates</w:t>
      </w:r>
    </w:p>
    <w:p>
      <w:pPr>
        <w:spacing w:after="120" w:line="276" w:lineRule="auto"/>
      </w:pPr>
      <w:r>
        <w:t>a tension between what such systems can achieve under ideal conditions and what communities</w:t>
      </w:r>
    </w:p>
    <w:p>
      <w:pPr>
        <w:spacing w:after="120" w:line="276" w:lineRule="auto"/>
      </w:pPr>
      <w:r>
        <w:t>can sustainably use under infrastructural constraint. The literature therefore suggests that the core</w:t>
      </w:r>
    </w:p>
    <w:p>
      <w:pPr>
        <w:spacing w:after="120" w:line="276" w:lineRule="auto"/>
      </w:pPr>
      <w:r>
        <w:t>limitation is not the absence of advanced digital tools themselves, but the persistence of architec</w:t>
      </w:r>
    </w:p>
    <w:p>
      <w:pPr>
        <w:spacing w:after="120" w:line="276" w:lineRule="auto"/>
      </w:pPr>
      <w:r>
        <w:t>tural models whose success depends on infrastructural conditions that cannot be assumed in the</w:t>
      </w:r>
    </w:p>
    <w:p>
      <w:pPr>
        <w:spacing w:after="120" w:line="276" w:lineRule="auto"/>
      </w:pPr>
      <w:r>
        <w:t>target setting [14, 30, 33, 35].</w:t>
      </w:r>
    </w:p>
    <w:p>
      <w:pPr>
        <w:pStyle w:val="Heading2"/>
        <w:spacing w:before="240" w:after="120"/>
      </w:pPr>
      <w:r>
        <w:rPr>
          <w:rFonts w:ascii="Times New Roman" w:hAnsi="Times New Roman"/>
          <w:b/>
        </w:rPr>
        <w:t>2.4 Contextual Challenges</w:t>
      </w:r>
    </w:p>
    <w:p>
      <w:pPr>
        <w:spacing w:after="120" w:line="276" w:lineRule="auto"/>
      </w:pPr>
      <w:r>
        <w:t>For MADN, the literature is most meaningful when interpreted against the realities of the environ</w:t>
      </w:r>
    </w:p>
    <w:p>
      <w:pPr>
        <w:spacing w:after="120" w:line="276" w:lineRule="auto"/>
      </w:pPr>
      <w:r>
        <w:t>ments in which the framework is intended to operate. In contexts such as Bulawayo and Tsholotsho,</w:t>
      </w:r>
    </w:p>
    <w:p>
      <w:pPr>
        <w:spacing w:after="120" w:line="276" w:lineRule="auto"/>
      </w:pPr>
      <w:r>
        <w:t>unreliable connectivity, intermittent power, constrained bandwidth, and the high relative cost of</w:t>
      </w:r>
    </w:p>
    <w:p>
      <w:pPr>
        <w:spacing w:after="120" w:line="276" w:lineRule="auto"/>
      </w:pPr>
      <w:r>
        <w:t>cloud-reliant services shape not only technical performance but also whether a digital system can</w:t>
      </w:r>
    </w:p>
    <w:p>
      <w:pPr>
        <w:spacing w:after="120" w:line="276" w:lineRule="auto"/>
      </w:pPr>
      <w:r>
        <w:t>be trusted, sustained, and routinely adopted [14, 30]. These conditions make it insufficient to</w:t>
      </w:r>
    </w:p>
    <w:p>
      <w:pPr>
        <w:spacing w:after="120" w:line="276" w:lineRule="auto"/>
      </w:pPr>
      <w:r>
        <w:t>evaluate intelligent systems only in terms of algorithmic capability or centralized processing effi</w:t>
      </w:r>
    </w:p>
    <w:p>
      <w:pPr>
        <w:spacing w:after="120" w:line="276" w:lineRule="auto"/>
      </w:pPr>
      <w:r>
        <w:t>ciency. Instead, suitability depends on whether computation can degrade gracefully, preserve core</w:t>
      </w:r>
    </w:p>
    <w:p>
      <w:pPr>
        <w:spacing w:after="120" w:line="276" w:lineRule="auto"/>
      </w:pPr>
      <w:r>
        <w:t>functionality during outages, and exploit local resources before resorting to external infrastructure</w:t>
      </w:r>
    </w:p>
    <w:p>
      <w:pPr>
        <w:spacing w:after="120" w:line="276" w:lineRule="auto"/>
      </w:pPr>
      <w:r>
        <w:t>[33, 34, 35].</w:t>
      </w:r>
    </w:p>
    <w:p>
      <w:pPr>
        <w:spacing w:after="120" w:line="276" w:lineRule="auto"/>
      </w:pPr>
      <w:r>
        <w:t>4</w:t>
      </w:r>
    </w:p>
    <w:p>
      <w:pPr>
        <w:spacing w:after="120" w:line="276" w:lineRule="auto"/>
      </w:pPr>
      <w:r>
        <w:t>A further challenge is that resource-constrained environments are not merely low-capacity versions</w:t>
      </w:r>
    </w:p>
    <w:p>
      <w:pPr>
        <w:spacing w:after="120" w:line="276" w:lineRule="auto"/>
      </w:pPr>
      <w:r>
        <w:t>of well-connected settings; they often require different architectural priorities altogether. Systems</w:t>
      </w:r>
    </w:p>
    <w:p>
      <w:pPr>
        <w:spacing w:after="120" w:line="276" w:lineRule="auto"/>
      </w:pPr>
      <w:r>
        <w:t>designed primarily for remote processing may optimize for scale and centralized coordination, yet</w:t>
      </w:r>
    </w:p>
    <w:p>
      <w:pPr>
        <w:spacing w:after="120" w:line="276" w:lineRule="auto"/>
      </w:pPr>
      <w:r>
        <w:t>communities facing unstable connectivity require architectures that prioritize locality, resilience,</w:t>
      </w:r>
    </w:p>
    <w:p>
      <w:pPr>
        <w:spacing w:after="120" w:line="276" w:lineRule="auto"/>
      </w:pPr>
      <w:r>
        <w:t>recoverability, and selective synchronization [16, 35, 37]. This distinction is important because</w:t>
      </w:r>
    </w:p>
    <w:p>
      <w:pPr>
        <w:spacing w:after="120" w:line="276" w:lineRule="auto"/>
      </w:pPr>
      <w:r>
        <w:t>it shifts the design question from how to maximize cloud dependence to how to balance local</w:t>
      </w:r>
    </w:p>
    <w:p>
      <w:pPr>
        <w:spacing w:after="120" w:line="276" w:lineRule="auto"/>
      </w:pPr>
      <w:r>
        <w:t>autonomy with opportunistic access to wider computational resources when conditions allow [31,</w:t>
      </w:r>
    </w:p>
    <w:p>
      <w:pPr>
        <w:spacing w:after="120" w:line="276" w:lineRule="auto"/>
      </w:pPr>
      <w:r>
        <w:t>36, 37]. It also suggests that success should be measured not only by processing throughput or</w:t>
      </w:r>
    </w:p>
    <w:p>
      <w:pPr>
        <w:spacing w:after="120" w:line="276" w:lineRule="auto"/>
      </w:pPr>
      <w:r>
        <w:t>model sophistication, but by whether a system remains affordable, maintainable, trustworthy, and</w:t>
      </w:r>
    </w:p>
    <w:p>
      <w:pPr>
        <w:spacing w:after="120" w:line="276" w:lineRule="auto"/>
      </w:pPr>
      <w:r>
        <w:t>functionally useful under ordinary infrastructural stress [13, 14, 30, 35]</w:t>
      </w:r>
    </w:p>
    <w:p>
      <w:pPr>
        <w:pStyle w:val="Heading2"/>
        <w:spacing w:before="240" w:after="120"/>
      </w:pPr>
      <w:r>
        <w:rPr>
          <w:rFonts w:ascii="Times New Roman" w:hAnsi="Times New Roman"/>
          <w:b/>
        </w:rPr>
        <w:t>2.5 Gaps in Existing Solutions</w:t>
      </w:r>
    </w:p>
    <w:p>
      <w:pPr>
        <w:spacing w:after="120" w:line="276" w:lineRule="auto"/>
      </w:pPr>
      <w:r>
        <w:t>A critical review of the existing technological landscape reveals significant shortcomings when</w:t>
      </w:r>
    </w:p>
    <w:p>
      <w:pPr>
        <w:spacing w:after="120" w:line="276" w:lineRule="auto"/>
      </w:pPr>
      <w:r>
        <w:t>applied to resource-constrained environments:</w:t>
      </w:r>
    </w:p>
    <w:p>
      <w:pPr>
        <w:spacing w:after="120" w:line="276" w:lineRule="auto"/>
      </w:pPr>
      <w:r>
        <w:t>• Vulnerability to Infrastructure Realities: Existing technological interventions rely heav</w:t>
      </w:r>
    </w:p>
    <w:p>
      <w:pPr>
        <w:spacing w:after="120" w:line="276" w:lineRule="auto"/>
      </w:pPr>
      <w:r>
        <w:t>ily on expensive, centralized cloud computing architectures [13]. These traditional systems</w:t>
      </w:r>
    </w:p>
    <w:p>
      <w:pPr>
        <w:spacing w:after="120" w:line="276" w:lineRule="auto"/>
      </w:pPr>
      <w:r>
        <w:t>are ill-suited for local socio-economic and infrastructure realities, often failing due to inter</w:t>
      </w:r>
    </w:p>
    <w:p>
      <w:pPr>
        <w:spacing w:after="120" w:line="276" w:lineRule="auto"/>
      </w:pPr>
      <w:r>
        <w:t>mittent internet access and high data costs [14]. Cloud-dependent paradigms often falter in</w:t>
      </w:r>
    </w:p>
    <w:p>
      <w:pPr>
        <w:spacing w:after="120" w:line="276" w:lineRule="auto"/>
      </w:pPr>
      <w:r>
        <w:t>regions like Bulawayo and Tsholotsho due to latency issues and connectivity blackouts [4, 30].</w:t>
      </w:r>
    </w:p>
    <w:p>
      <w:pPr>
        <w:spacing w:after="120" w:line="276" w:lineRule="auto"/>
      </w:pPr>
      <w:r>
        <w:t>• Wasted Local Compute Resources: Despite the high penetration of smartphones, lap</w:t>
      </w:r>
    </w:p>
    <w:p>
      <w:pPr>
        <w:spacing w:after="120" w:line="276" w:lineRule="auto"/>
      </w:pPr>
      <w:r>
        <w:t>tops, and other personal computing devices in Bulawayo and Tsholotsho, a vast reservoir of</w:t>
      </w:r>
    </w:p>
    <w:p>
      <w:pPr>
        <w:spacing w:after="120" w:line="276" w:lineRule="auto"/>
      </w:pPr>
      <w:r>
        <w:t>local computational power remains idle and unutilized for most of the day [10]. Currently,</w:t>
      </w:r>
    </w:p>
    <w:p>
      <w:pPr>
        <w:spacing w:after="120" w:line="276" w:lineRule="auto"/>
      </w:pPr>
      <w:r>
        <w:t>there is no viable, localized framework designed to seamlessly aggregate and orchestrate the</w:t>
      </w:r>
    </w:p>
    <w:p>
      <w:pPr>
        <w:spacing w:after="120" w:line="276" w:lineRule="auto"/>
      </w:pPr>
      <w:r>
        <w:t>latent processing capacity of ubiquitous personal devices to solve regional issues [15].</w:t>
      </w:r>
    </w:p>
    <w:p>
      <w:pPr>
        <w:spacing w:after="120" w:line="276" w:lineRule="auto"/>
      </w:pPr>
      <w:r>
        <w:t>• Lack of Microclimate Specificity: In agriculture, existing solutions suffer from a lack of</w:t>
      </w:r>
    </w:p>
    <w:p>
      <w:pPr>
        <w:spacing w:after="120" w:line="276" w:lineRule="auto"/>
      </w:pPr>
      <w:r>
        <w:t>localized, microclimate-specific data processing for soil hydration and irrigation optimization [11]. Farmers require</w:t>
      </w:r>
    </w:p>
    <w:p>
      <w:pPr>
        <w:spacing w:after="120" w:line="276" w:lineRule="auto"/>
      </w:pPr>
      <w:r>
        <w:t>precise, microclimate-specific insights to manage soil moisture levels and determine watering needs, rather than generalized regional</w:t>
      </w:r>
    </w:p>
    <w:p>
      <w:pPr>
        <w:spacing w:after="120" w:line="276" w:lineRule="auto"/>
      </w:pPr>
      <w:r>
        <w:t>data [5, 22].</w:t>
      </w:r>
    </w:p>
    <w:p>
      <w:pPr>
        <w:spacing w:after="120" w:line="276" w:lineRule="auto"/>
      </w:pPr>
      <w:r>
        <w:t>• Absence of Offline Operational Resilience: Public security lacks intelligent, real-time</w:t>
      </w:r>
    </w:p>
    <w:p>
      <w:pPr>
        <w:spacing w:after="120" w:line="276" w:lineRule="auto"/>
      </w:pPr>
      <w:r>
        <w:t>edge processing for perimeter surveillance that does not rely on constant internet uplinks [6,</w:t>
      </w:r>
    </w:p>
    <w:p>
      <w:pPr>
        <w:spacing w:after="120" w:line="276" w:lineRule="auto"/>
      </w:pPr>
      <w:r>
        <w:t>12]. Furthermore, commercial vendors struggle with transaction inefficiencies and inventory</w:t>
      </w:r>
    </w:p>
    <w:p>
      <w:pPr>
        <w:spacing w:after="120" w:line="276" w:lineRule="auto"/>
      </w:pPr>
      <w:r>
        <w:t>management due to unreliable connectivity and the absence of resilient POS systems that</w:t>
      </w:r>
    </w:p>
    <w:p>
      <w:pPr>
        <w:spacing w:after="120" w:line="276" w:lineRule="auto"/>
      </w:pPr>
      <w:r>
        <w:t>maintain transaction integrity during blackouts [7, 12].</w:t>
      </w:r>
    </w:p>
    <w:p>
      <w:pPr>
        <w:pStyle w:val="Heading2"/>
        <w:spacing w:before="240" w:after="120"/>
      </w:pPr>
      <w:r>
        <w:rPr>
          <w:rFonts w:ascii="Times New Roman" w:hAnsi="Times New Roman"/>
          <w:b/>
        </w:rPr>
        <w:t>2.6 Implications for MADN Design</w:t>
      </w:r>
    </w:p>
    <w:p>
      <w:pPr>
        <w:spacing w:after="120" w:line="276" w:lineRule="auto"/>
      </w:pPr>
      <w:r>
        <w:t>The reviewed literature does more than identify a technological gap; it clarifies the architectural</w:t>
      </w:r>
    </w:p>
    <w:p>
      <w:pPr>
        <w:spacing w:after="120" w:line="276" w:lineRule="auto"/>
      </w:pPr>
      <w:r>
        <w:t>principles that MADN must embody. First, the framework must preserve local operational con</w:t>
      </w:r>
    </w:p>
    <w:p>
      <w:pPr>
        <w:spacing w:after="120" w:line="276" w:lineRule="auto"/>
      </w:pPr>
      <w:r>
        <w:t>tinuity, ensuring that essential sensing, inference, coordination, and transaction functions remain</w:t>
      </w:r>
    </w:p>
    <w:p>
      <w:pPr>
        <w:spacing w:after="120" w:line="276" w:lineRule="auto"/>
      </w:pPr>
      <w:r>
        <w:t>available even when internet access is unstable or absent [6, 12, 35]. Second, it must support</w:t>
      </w:r>
    </w:p>
    <w:p>
      <w:pPr>
        <w:spacing w:after="120" w:line="276" w:lineRule="auto"/>
      </w:pPr>
      <w:r>
        <w:t>hybrid edge–cloud adaptability, allowing tasks to be retained locally when latency, privacy, or con</w:t>
      </w:r>
    </w:p>
    <w:p>
      <w:pPr>
        <w:spacing w:after="120" w:line="276" w:lineRule="auto"/>
      </w:pPr>
      <w:r>
        <w:t>nectivity constraints dominate, while still offloading appropriate workloads to cloud infrastructure</w:t>
      </w:r>
    </w:p>
    <w:p>
      <w:pPr>
        <w:spacing w:after="120" w:line="276" w:lineRule="auto"/>
      </w:pPr>
      <w:r>
        <w:t>when elasticity, storage, or large-scale coordination become advantageous [31, 33, 36, 37]. Third, it</w:t>
      </w:r>
    </w:p>
    <w:p>
      <w:pPr>
        <w:spacing w:after="120" w:line="276" w:lineRule="auto"/>
      </w:pPr>
      <w:r>
        <w:t>must enable distributed utilization of latent resources, so that idle consumer devices can contribute</w:t>
      </w:r>
    </w:p>
    <w:p>
      <w:pPr>
        <w:spacing w:after="120" w:line="276" w:lineRule="auto"/>
      </w:pPr>
      <w:r>
        <w:t>meaningful computational value within a localized network rather than leaving communities wholly</w:t>
      </w:r>
    </w:p>
    <w:p>
      <w:pPr>
        <w:spacing w:after="120" w:line="276" w:lineRule="auto"/>
      </w:pPr>
      <w:r>
        <w:t>dependent on external infrastructure [3, 15, 32].</w:t>
      </w:r>
    </w:p>
    <w:p>
      <w:pPr>
        <w:spacing w:after="120" w:line="276" w:lineRule="auto"/>
      </w:pPr>
      <w:r>
        <w:t>In design terms, these implications suggest that MADN should not be framed merely as a software</w:t>
      </w:r>
    </w:p>
    <w:p>
      <w:pPr>
        <w:spacing w:after="120" w:line="276" w:lineRule="auto"/>
      </w:pPr>
      <w:r>
        <w:t>platform, but as a resilient orchestration layer across heterogeneous devices, services, and connectiv</w:t>
      </w:r>
    </w:p>
    <w:p>
      <w:pPr>
        <w:spacing w:after="120" w:line="276" w:lineRule="auto"/>
      </w:pPr>
      <w:r>
        <w:t>ity states. Its novelty lies in combining edge intelligence, decentralized participation, and selective</w:t>
      </w:r>
    </w:p>
    <w:p>
      <w:pPr>
        <w:spacing w:after="120" w:line="276" w:lineRule="auto"/>
      </w:pPr>
      <w:r>
        <w:t>cloud augmentation into a system that is responsive to local conditions while still capable of scaling</w:t>
      </w:r>
    </w:p>
    <w:p>
      <w:pPr>
        <w:spacing w:after="120" w:line="276" w:lineRule="auto"/>
      </w:pPr>
      <w:r>
        <w:t>outward when infrastructure permits [16, 17, 33, 37]. This interpretation positions MADN as a</w:t>
      </w:r>
    </w:p>
    <w:p>
      <w:pPr>
        <w:spacing w:after="120" w:line="276" w:lineRule="auto"/>
      </w:pPr>
      <w:r>
        <w:t>practical response to the central limitation identified across the literature: the mismatch between</w:t>
      </w:r>
    </w:p>
    <w:p>
      <w:pPr>
        <w:spacing w:after="120" w:line="276" w:lineRule="auto"/>
      </w:pPr>
      <w:r>
        <w:t>advanced digital systems and the environments in which they are expected to operate. It further</w:t>
      </w:r>
    </w:p>
    <w:p>
      <w:pPr>
        <w:spacing w:after="120" w:line="276" w:lineRule="auto"/>
      </w:pPr>
      <w:r>
        <w:t>implies that orchestration is not a secondary implementation concern, but a core design princi</w:t>
      </w:r>
    </w:p>
    <w:p>
      <w:pPr>
        <w:spacing w:after="120" w:line="276" w:lineRule="auto"/>
      </w:pPr>
      <w:r>
        <w:t>ple through which MADN can decide what should execute locally, what should be shared across</w:t>
      </w:r>
    </w:p>
    <w:p>
      <w:pPr>
        <w:spacing w:after="120" w:line="276" w:lineRule="auto"/>
      </w:pPr>
      <w:r>
        <w:t>nearby devices, and what should be escalated to cloud infrastructure under favorable conditions</w:t>
      </w:r>
    </w:p>
    <w:p>
      <w:pPr>
        <w:spacing w:after="120" w:line="276" w:lineRule="auto"/>
      </w:pPr>
      <w:r>
        <w:t>[16, 31, 33, 37]</w:t>
      </w:r>
    </w:p>
    <w:p>
      <w:pPr>
        <w:pStyle w:val="Heading2"/>
        <w:spacing w:before="240" w:after="120"/>
      </w:pPr>
      <w:r>
        <w:rPr>
          <w:rFonts w:ascii="Times New Roman" w:hAnsi="Times New Roman"/>
          <w:b/>
        </w:rPr>
        <w:t>2.7 Summary of Literature Review</w:t>
      </w:r>
    </w:p>
    <w:p>
      <w:pPr>
        <w:spacing w:after="120" w:line="276" w:lineRule="auto"/>
      </w:pPr>
      <w:r>
        <w:t>The literature demonstrates that while complex data-driven solutions exist for agriculture, security, and commerce, their reliance on centralized cloud infrastructures renders them largely ineffective for regions experiencing intermittent connectivity and high bandwidth costs [4, 30]. At the same time, the reviewed studies show that edge intelligence, distributed computing, embedded machine learning, and cloud elasticity are not competing paradigms, but complementary components of a more adaptive computational architecture [26, 31, 33, 37]. Without a modular system capable of coordinating these components while utilizing decentralized local power, communities in Bulawayo and Tsholotsho remain dependent on fragile external infrastructure [16]. This underscores the critical necessity for a localized yet hybrid edge–cloud network specifically, the Modular Adaptive Data Node (MADN) to bridge the gap between idle local hardware, constrained infrastructure, and the pressing computational demands of the region [17, 32, 33]. In this sense, the chapter establishes not only the relevance of MADN, but also the design logic that should guide the chapters that follow: computation must be local, when necessary, collaborative where possible, and cloud augmented when advantageous [16, 31, 33, 37].</w:t>
      </w:r>
    </w:p>
    <w:p>
      <w:pPr>
        <w:pStyle w:val="Heading2"/>
        <w:spacing w:before="240" w:after="120"/>
      </w:pPr>
      <w:r>
        <w:rPr>
          <w:rFonts w:ascii="Times New Roman" w:hAnsi="Times New Roman"/>
          <w:b/>
        </w:rPr>
        <w:t>2.8 Bibliography</w:t>
      </w:r>
    </w:p>
    <w:p>
      <w:pPr>
        <w:pStyle w:val="ListNumber"/>
        <w:spacing w:after="60"/>
        <w:ind w:left="360"/>
      </w:pPr>
      <w:r>
        <w:t>E. Ahmed, A. Ahmed, I. Yaqoob, J. Shuja, A. Gani, M. Imran, and M. Shoaib, “Bringing Computation Closer toward the User Network: Is Edge Computing the Solution?,” IEEE Communications Magazine, vol. 55, no. 11, pp. 138–144, Nov. 2017, doi: 10.1109/MCOM.2017.1700120.</w:t>
      </w:r>
    </w:p>
    <w:p>
      <w:pPr>
        <w:pStyle w:val="ListNumber"/>
        <w:spacing w:after="60"/>
        <w:ind w:left="360"/>
      </w:pPr>
      <w:r>
        <w:t>T. Taleb, K. Samdanis, B. Mada, H. Flinck, S. Dutta, and D. Sabella, “On Multi-Access Edge Computing: A Survey of the Emerging 5G Network Edge Cloud Architecture and Orchestration,” IEEE Communications Surveys &amp; Tutorials, vol. 19, no. 3, pp. 1657–1681, 3rd Quart., 2017, doi: 10.1109/COMST.2017.2705720.</w:t>
      </w:r>
    </w:p>
    <w:p>
      <w:pPr>
        <w:pStyle w:val="ListNumber"/>
        <w:spacing w:after="60"/>
        <w:ind w:left="360"/>
      </w:pPr>
      <w:r>
        <w:t>M. Y. Arslan, I. Singh, S. Singh, H. V. Madhyastha, K. Sundaresan, and S. V. Krishnamurthy, “Computing while Charging: Building a Distributed Computing Infrastructure Using Smartphones,” in Proc. 8th Int. Conf. Emerging Netw. Experiments Technol. (CoNEXT), Nice, France, Dec. 2012, pp. 193–204, doi: 10.1145/2413176.2413199.</w:t>
      </w:r>
    </w:p>
    <w:p>
      <w:pPr>
        <w:pStyle w:val="ListNumber"/>
        <w:spacing w:after="60"/>
        <w:ind w:left="360"/>
      </w:pPr>
      <w:r>
        <w:t>L. Tan, “Cloud-based Decision Support and Automation for Precision Agriculture in Orchards,” IFAC-PapersOnLine, vol. 49, no. 16, pp. 330–335, 2016, doi: 10.1016/j.ifacol.2016.10.061.</w:t>
      </w:r>
    </w:p>
    <w:p>
      <w:pPr>
        <w:pStyle w:val="ListNumber"/>
        <w:spacing w:after="60"/>
        <w:ind w:left="360"/>
      </w:pPr>
      <w:r>
        <w:t>S. R. Schultze, M. N. Campbell, S. Walley, K. Pfeiffer, and B. Wilkins, “Exploration of Sub-Field Microclimates and Winter Temperatures: Implications for Precision Agriculture,” International Journal of Biometeorology, vol. 65, no. 7, pp. 1043–1052, Jul. 2021, doi: 10.1007/s00484-021-02086-0.</w:t>
      </w:r>
    </w:p>
    <w:p>
      <w:pPr>
        <w:pStyle w:val="ListNumber"/>
        <w:spacing w:after="60"/>
        <w:ind w:left="360"/>
      </w:pPr>
      <w:r>
        <w:t>A. C. Cob-Parro, C. Losada-Gutiérrez, M. Marrón-Romera, A. Gardel-Vicente, and I. Bravo-Muñoz, “Smart Video Surveillance System Based on Edge Computing,” Sensors, vol. 21, no. 9, Art. no. 2958, Apr. 2021, doi: 10.3390/s21092958.</w:t>
      </w:r>
    </w:p>
    <w:p>
      <w:pPr>
        <w:pStyle w:val="ListNumber"/>
        <w:spacing w:after="60"/>
        <w:ind w:left="360"/>
      </w:pPr>
      <w:r>
        <w:t>G. T. Li and L. K. Lau, “Mobile Point of Sales System with Cloud-Based Inventory Management for Micro and Small Enterprises,” in Proc. World Congr. Eng. Comput. Sci. (WCECS), San Francisco, CA, USA, Oct. 2015, pp. 664–669.</w:t>
      </w:r>
    </w:p>
    <w:p>
      <w:pPr>
        <w:pStyle w:val="ListNumber"/>
        <w:spacing w:after="60"/>
        <w:ind w:left="360"/>
      </w:pPr>
      <w:r>
        <w:t>K.-D. Kang, D. S. Menascé, G. Küçük, T. Zhu, and P. Yi, “Edge Computing in the Internet of Things,” International Journal of Distributed Sensor Networks, vol. 13, no. 11, Nov. 2017, Art. no. 1550147717732446, doi: 10.1177/1550147717732446. 8</w:t>
      </w:r>
    </w:p>
    <w:p>
      <w:pPr>
        <w:pStyle w:val="ListNumber"/>
        <w:spacing w:after="60"/>
        <w:ind w:left="360"/>
      </w:pPr>
      <w:r>
        <w:t>M. Satyanarayanan, P. Bahl, R. Cáceres, and N. Davies, “The Case for VM-Based Cloudlets in Mobile Computing,” IEEE Pervasive Computing, vol. 8, no. 4, pp. 14–23, Oct.–Dec. 2009, doi: 10.1109/MPRV.2009.82.</w:t>
      </w:r>
    </w:p>
    <w:p>
      <w:pPr>
        <w:pStyle w:val="ListNumber"/>
        <w:spacing w:after="60"/>
        <w:ind w:left="360"/>
      </w:pPr>
      <w:r>
        <w:t>S. Hove, “Zimbabwe’s Mobile Penetration Rate Surges to 116.37% as Active Mobile Subscriptions Rise to 18.91 Million,” TechZim, Sept. 30, 2024.</w:t>
      </w:r>
    </w:p>
    <w:p>
      <w:pPr>
        <w:pStyle w:val="ListNumber"/>
        <w:spacing w:after="60"/>
        <w:ind w:left="360"/>
      </w:pPr>
      <w:r>
        <w:t>J. Everingham, J. Sexton, D. Skocaj, and H. Inman-Bamber, “Accurate Prediction of Sugarcane Yield Using a Random Forest Algorithm,” Agronomy for Sustainable Development, vol. 36, no. 2, Art. no. 27, May 2016, doi: 10.1007/s13593-016-0364-z.</w:t>
      </w:r>
    </w:p>
    <w:p>
      <w:pPr>
        <w:pStyle w:val="ListNumber"/>
        <w:spacing w:after="60"/>
        <w:ind w:left="360"/>
      </w:pPr>
      <w:r>
        <w:t>S. Kochar, H. Nikam, R. Tripathi, and A. Vidhate, “Offline Transaction System,” ITM Web of Conferences, vol. 44, Art. no. 03072, 2022, doi: 10.1051/itmconf/20224403072.</w:t>
      </w:r>
    </w:p>
    <w:p>
      <w:pPr>
        <w:pStyle w:val="ListNumber"/>
        <w:spacing w:after="60"/>
        <w:ind w:left="360"/>
      </w:pPr>
      <w:r>
        <w:t>K. M. Khan, J. Han, and H. K. Zhang, “Hidden Costs in Cloud Computing,” in Proc. IEEE 6th Int. Conf. Cloud Comput., Santa Clara, CA, USA, June–July 2013, pp. 652–659, doi: 10.1109/CLOUD.2013.97.</w:t>
      </w:r>
    </w:p>
    <w:p>
      <w:pPr>
        <w:pStyle w:val="ListNumber"/>
        <w:spacing w:after="60"/>
        <w:ind w:left="360"/>
      </w:pPr>
      <w:r>
        <w:t>Freedom House, “Freedom on the Net 2024: Zimbabwe,” Washington, DC, USA, 2024.</w:t>
      </w:r>
    </w:p>
    <w:p>
      <w:pPr>
        <w:pStyle w:val="ListNumber"/>
        <w:spacing w:after="60"/>
        <w:ind w:left="360"/>
      </w:pPr>
      <w:r>
        <w:t>S. M. Otero Corrales and K. Fach Gomez, “Volunteer Computing for Scalability in Fog-Computing Systems: A Systematic Review,” PeerJ Computer Science, vol. 10, Art. no. e2542, 2024, doi: 10.7717/peerj-cs.2542.</w:t>
      </w:r>
    </w:p>
    <w:p>
      <w:pPr>
        <w:pStyle w:val="ListNumber"/>
        <w:spacing w:after="60"/>
        <w:ind w:left="360"/>
      </w:pPr>
      <w:r>
        <w:t>A. Al-Hawawreh, M. C. Yuen, A. Shahabi, Y. Ma, M. Moh, and T.-S. Moh, “A Decentralized Collaborative Framework for Scalable Edge AI: A Systematic Approach,” Sensors, vol. 24, no. 1, Art. no. 236, Jan. 2024, doi: 10.3390/s24010236.</w:t>
      </w:r>
    </w:p>
    <w:p>
      <w:pPr>
        <w:pStyle w:val="ListNumber"/>
        <w:spacing w:after="60"/>
        <w:ind w:left="360"/>
      </w:pPr>
      <w:r>
        <w:t>J. Chen and X. Ran, “Deep Learning with Edge Computing: A Review,” Proceedings of the IEEE, vol. 107, no. 8, pp. 1655–1674, Aug. 2019, doi: 10.1109/JPROC.2019.2921977.</w:t>
      </w:r>
    </w:p>
    <w:p>
      <w:pPr>
        <w:pStyle w:val="ListNumber"/>
        <w:spacing w:after="60"/>
        <w:ind w:left="360"/>
      </w:pPr>
      <w:r>
        <w:t>G. Rjoub, O. A. Wahab, J. Bentahar, and A. A. Bataineh, “Distributed Data Stream Processing and Edge Computing: A Survey on Resource Elasticity and Future Directions,” Sensors, vol. 21, no. 16, Art. no. 5348, Aug. 2021, doi: 10.3390/s21165348.</w:t>
      </w:r>
    </w:p>
    <w:p>
      <w:pPr>
        <w:pStyle w:val="ListNumber"/>
        <w:spacing w:after="60"/>
        <w:ind w:left="360"/>
      </w:pPr>
      <w:r>
        <w:t>E. E. Ogiemwonyi, M. Bodunde, O. O. Obe, and V. O. Matthews, “On-Device AI for Climate-Resilient Farming: Lightweight Models on Smart Agricultural Devices,” Scientific Reports, vol. 15, Art. no. 18745, 2025, doi: 10.1038/s41598-025-03389-z.</w:t>
      </w:r>
    </w:p>
    <w:p>
      <w:pPr>
        <w:pStyle w:val="ListNumber"/>
        <w:spacing w:after="60"/>
        <w:ind w:left="360"/>
      </w:pPr>
      <w:r>
        <w:t>M. Singha and S. K. Das, “Real-Time and Accurate Object Detection on Edge Device with TensorFlow Lite,” Journal of Physics: Conference Series, vol. 1651, no. 1, Art. no. 012114, Oct. 2020, doi: 10.1088/1742-6596/1651/1/012114.</w:t>
      </w:r>
    </w:p>
    <w:p>
      <w:pPr>
        <w:pStyle w:val="ListNumber"/>
        <w:spacing w:after="60"/>
        <w:ind w:left="360"/>
      </w:pPr>
      <w:r>
        <w:t>S. Kumar, A. A. Khan, K. P. Singh, and T. Shankar, “Advancing Smart Systems with TinyML: A Review of Applications, Challenges, and Future Prospects,” IEEE Access, vol. 13, pp. 1924–1954, 2025, doi: 10.1109/ACCESS.2024.3525393. 9</w:t>
      </w:r>
    </w:p>
    <w:p>
      <w:pPr>
        <w:pStyle w:val="ListNumber"/>
        <w:spacing w:after="60"/>
        <w:ind w:left="360"/>
      </w:pPr>
      <w:r>
        <w:t>P. K. Sethy, A. Kumar Barik, and S. K. Rath, “A Cloud Enabled Crop Recommendation Platform for Machine Learning Driven Precision Farming,” Computers and Electronics in Agriculture, vol. 216, Art. no. 108527, Jan. 2024, doi: 10.1016/j.compag.2023.108527.</w:t>
      </w:r>
    </w:p>
    <w:p>
      <w:pPr>
        <w:pStyle w:val="ListNumber"/>
        <w:spacing w:after="60"/>
        <w:ind w:left="360"/>
      </w:pPr>
      <w:r>
        <w:t>H. Xu, L. Wang, Z. Liu, and Y. Li, “A Privacy-Preserving Video Surveillance System Based on Edge Computing,” IEEE Access, vol. 9, pp. 112055–112067, 2021, doi: 10.1109/ACCESS.2021.3103010.</w:t>
      </w:r>
    </w:p>
    <w:p>
      <w:pPr>
        <w:pStyle w:val="ListNumber"/>
        <w:spacing w:after="60"/>
        <w:ind w:left="360"/>
      </w:pPr>
      <w:r>
        <w:t>S. S. Gill, M. Xu, P. Garraghan, R. Bahsoon, A. K. Kar, S. Kaddoum, T. Baker, and O. Rana, “Edge Computing for Smart Agriculture: Opportunities, Challenges, and Future Directions,” IEEE/CAA Journal of Automatica Sinica, vol. 9, no. 5, pp. 908–929, May 2022, doi: 10.1109/JAS.2022.105690.</w:t>
      </w:r>
    </w:p>
    <w:p>
      <w:pPr>
        <w:pStyle w:val="ListNumber"/>
        <w:spacing w:after="60"/>
        <w:ind w:left="360"/>
      </w:pPr>
      <w:r>
        <w:t>B. Ahmed, H. Shabbir, S. R. Naqvi, and L. Peng, “Smart Agriculture: Current State, Opportunities and Challenges,” IEEE Access, vol. 12, pp. 140762–140802, 2024, doi: 10.1109/ACCESS.2024.3471647.</w:t>
      </w:r>
    </w:p>
    <w:p>
      <w:pPr>
        <w:pStyle w:val="ListNumber"/>
        <w:spacing w:after="60"/>
        <w:ind w:left="360"/>
      </w:pPr>
      <w:r>
        <w:t>G. S. Aujla, A. Singh, S. K. Garg, K. K. R. Choo, and R. Buyya, “Distributed Intelligence for Edge-to-Cloud Computing: A Systematic Review,” ACM Computing Surveys, vol. 56, no. 10, Art. no. 253, 2024, doi: 10.1145/3649449.</w:t>
      </w:r>
    </w:p>
    <w:p>
      <w:pPr>
        <w:pStyle w:val="ListNumber"/>
        <w:spacing w:after="60"/>
        <w:ind w:left="360"/>
      </w:pPr>
      <w:r>
        <w:t>A. R. Matin, S. Kamal, M. M. U. Rathore, T. Amgoth, and G. Srivastava, “A Review of Smart Agriculture Using Internet of Things, Artificial Intelligence, and Computer Vision,” Sensors, vol. 22, no. 23, Art. no. 9309, Dec. 2022, doi: 10.3390/s22239309.</w:t>
      </w:r>
    </w:p>
    <w:p>
      <w:pPr>
        <w:pStyle w:val="ListNumber"/>
        <w:spacing w:after="60"/>
        <w:ind w:left="360"/>
      </w:pPr>
      <w:r>
        <w:t>J. C. West, “Why Your Company Needs More Mobile Apps,” Engineering Management Review, vol. 43, no. 2, pp. 12–15, June 2015, doi: 10.1109/EMR.2015.2437354.</w:t>
      </w:r>
    </w:p>
    <w:p>
      <w:pPr>
        <w:pStyle w:val="ListNumber"/>
        <w:spacing w:after="60"/>
        <w:ind w:left="360"/>
      </w:pPr>
      <w:r>
        <w:t>H. Cui and A. R. Butt, “The Challenge of Exploiting Idle System Resources in a Virtually Integrated End-to-End Computing Environment,” in Proc. USENIX Conf. File Storage Technol. (FAST), San Jose, CA, USA, Feb. 2007, pp. 33–48.</w:t>
      </w:r>
    </w:p>
    <w:p>
      <w:pPr>
        <w:pStyle w:val="ListNumber"/>
        <w:spacing w:after="60"/>
        <w:ind w:left="360"/>
      </w:pPr>
      <w:r>
        <w:t>Postal and Telecommunications Regulatory Authority of Zimbabwe (POTRAZ), “Third Quarter 2024 Abridged Sector Performance Report,” Harare, Zimbabwe, 2025.</w:t>
      </w:r>
    </w:p>
    <w:p>
      <w:pPr>
        <w:pStyle w:val="ListNumber"/>
        <w:spacing w:after="60"/>
        <w:ind w:left="360"/>
      </w:pPr>
      <w:r>
        <w:t>F. C. Andriulo, M. Fiore, M. Mongiello, E. Traversa, and V. Zizzo, “Edge Computing and Cloud Computing for Internet of Things: A Review,” Informatics, vol. 11, no. 4, Art. no. 71, Sept. 2024, doi: 10.3390/informatics11040071.</w:t>
      </w:r>
    </w:p>
    <w:p>
      <w:pPr>
        <w:pStyle w:val="ListNumber"/>
        <w:spacing w:after="60"/>
        <w:ind w:left="360"/>
      </w:pPr>
      <w:r>
        <w:t>M. E. Hirsch, C. Mateos, and A. Zunino, “Augmenting Computing Capabilities at the Edge by Jointly Exploiting Mobile Devices: A Survey,” Future Generation Computer Systems, vol. 88, pp. 644–662, Nov. 2018, doi: 10.1016/j.future.2018.06.005.</w:t>
      </w:r>
    </w:p>
    <w:p>
      <w:pPr>
        <w:pStyle w:val="ListNumber"/>
        <w:spacing w:after="60"/>
        <w:ind w:left="360"/>
      </w:pPr>
      <w:r>
        <w:t>D. Rosendo, A. Costan, P. Valduriez, and G. Antoniu, “Distributed Intelligence on the Edge-to-Cloud Continuum: A Systematic Literature Review,” Journal of Parallel and Distributed Computing, vol. 166, pp. 71–94, Aug. 2022, doi: 10.1016/j.jpdc.2022.04.004. 10</w:t>
      </w:r>
    </w:p>
    <w:p>
      <w:pPr>
        <w:pStyle w:val="ListNumber"/>
        <w:spacing w:after="60"/>
        <w:ind w:left="360"/>
      </w:pPr>
      <w:r>
        <w:t>H.-L. Truong, T. Truong-Huu, and T.-D. Cao, “Making Distributed Edge Machine Learning for Resource-Constrained Communities and Environments Smarter: Contexts and Challenges,” Journal of Reliable Intelligent Environments, vol. 9, pp. 119–134, June 2023, doi: 10.1007/s40860-022-00176-3.</w:t>
      </w:r>
    </w:p>
    <w:p>
      <w:pPr>
        <w:pStyle w:val="ListNumber"/>
        <w:spacing w:after="60"/>
        <w:ind w:left="360"/>
      </w:pPr>
      <w:r>
        <w:t>S. Bagchi, M.-B. Siddiqui, P. Wood, and H. Zhang, “Dependability in Edge Computing,” Communications of the ACM, vol. 63, no. 1, pp. 58–66, Jan. 2020, doi: 10.1145/3364118.</w:t>
      </w:r>
    </w:p>
    <w:p>
      <w:pPr>
        <w:pStyle w:val="ListNumber"/>
        <w:spacing w:after="60"/>
        <w:ind w:left="360"/>
      </w:pPr>
      <w:r>
        <w:t>P. Mell and T. Grance, “The NIST Definition of Cloud Computing,” NIST Special Publication 800-145, Gaithersburg, MD, USA, Sept. 2011, doi: 10.6028/NIST.SP.800-145.</w:t>
      </w:r>
    </w:p>
    <w:p>
      <w:pPr>
        <w:pStyle w:val="ListNumber"/>
        <w:spacing w:after="60"/>
        <w:ind w:left="360"/>
      </w:pPr>
      <w:r>
        <w:t>D. Balouek-Thomert, E. G. Renart, A. R. Zamani, A. Simonet, and M. Parashar, “Towards a Computing Continuum: Enabling Edge-to-Cloud Integration for Data-Driven Workflows,” The Journal of Supercomputing, vol. 76, pp. 9020–9044, Nov. 2020, doi: 10.1007/s11227-019-03102-3.</w:t>
      </w:r>
    </w:p>
    <w:p>
      <w:pPr>
        <w:pStyle w:val="ListNumber"/>
        <w:spacing w:after="60"/>
        <w:ind w:left="360"/>
      </w:pPr>
      <w:r>
        <w:t>G. Dosi, “Technological Paradigms and Technological Trajectories: A Suggested Interpretation of the Determinants and Directions of Technical Change,” Research Policy, vol. 11, no. 3, pp. 147–162, June 1982, doi: 10.1016/0048-7333(82)90016-6.</w:t>
      </w:r>
    </w:p>
    <w:p>
      <w:pPr>
        <w:pStyle w:val="ListNumber"/>
        <w:spacing w:after="60"/>
        <w:ind w:left="360"/>
      </w:pPr>
      <w:r>
        <w:t>M. de Reuver, C. Sørensen, and R. C. Basole, “The Digital Platform: A Research Agenda,” Journal of Information Technology, vol. 33, no. 2, pp. 124–135, June 2018, doi: 10.1057/s41265-016-0033-3.</w:t>
      </w:r>
    </w:p>
    <w:p>
      <w:pPr>
        <w:pStyle w:val="ListNumber"/>
        <w:spacing w:after="60"/>
        <w:ind w:left="360"/>
      </w:pPr>
      <w:r>
        <w:t>Apple Developer, “App Store Features,” Apple Inc., Cupertino, CA, USA, 2026.</w:t>
      </w:r>
    </w:p>
    <w:p>
      <w:pPr>
        <w:pStyle w:val="ListNumber"/>
        <w:spacing w:after="60"/>
        <w:ind w:left="360"/>
      </w:pPr>
      <w:r>
        <w:t>Android Developers, “Android Platform,” Google LLC, Mountain View, CA, USA, 2026.</w:t>
      </w:r>
    </w:p>
    <w:p>
      <w:pPr>
        <w:pStyle w:val="ListNumber"/>
        <w:spacing w:after="60"/>
        <w:ind w:left="360"/>
      </w:pPr>
      <w:r>
        <w:t>Raspberry Pi Ltd, “Pico-Series Microcontrollers,” Raspberry Pi Documentation, Cambridge, U.K., 2026.</w:t>
      </w:r>
    </w:p>
    <w:p>
      <w:pPr>
        <w:pStyle w:val="ListNumber"/>
        <w:spacing w:after="60"/>
        <w:ind w:left="360"/>
      </w:pPr>
      <w:r>
        <w:t>NVIDIA, “CUDA Programming Guide,” NVIDIA Documentation, Santa Clara, CA, USA, 2026.</w:t>
      </w:r>
    </w:p>
    <w:p>
      <w:pPr>
        <w:pStyle w:val="ListNumber"/>
        <w:spacing w:after="60"/>
        <w:ind w:left="360"/>
      </w:pPr>
      <w:r>
        <w:t>Samsung Knox, “About the Knox SDK,” Samsung Electronics Co., Ltd., Suwon, Republic of Korea, 2026.</w:t>
      </w:r>
    </w:p>
    <w:p>
      <w:pPr>
        <w:pStyle w:val="ListNumber"/>
        <w:spacing w:after="60"/>
        <w:ind w:left="360"/>
      </w:pPr>
      <w:r>
        <w:t>K. Kapoor, A. Z. Bigdeli, Y. K. Dwivedi, A. Schroeder, A. Beltagui, and T. Baines, “A Socio-Technical View of Platform Ecosystems: Systematic Review and Research Agenda,” Journal of Business Research, vol. 128, pp. 94–108, May 2021, doi: 10.1016/j.jbusres.2021.01.060.</w:t>
      </w:r>
    </w:p>
    <w:p>
      <w:pPr>
        <w:pStyle w:val="ListNumber"/>
        <w:spacing w:after="60"/>
        <w:ind w:left="360"/>
      </w:pPr>
      <w:r>
        <w:t>M. G. Jacobides, A. Cennamo, and A. Gawer, “The Value and Structuring Role of Web APIs in Digital Innovation Ecosystems: The Case of the Online Travel Ecosystem,” Research Policy, vol. 53, no. 1, Art. no. 104931, Jan. 2024, doi: 10.1016/j.respol.2023.104931.</w:t>
      </w:r>
    </w:p>
    <w:p>
      <w:pPr>
        <w:spacing w:after="120" w:line="276" w:lineRule="auto"/>
      </w:pPr>
      <w:r>
        <w:t># CHAPTER 3: METHODOLOGY</w:t>
      </w:r>
    </w:p>
    <w:p>
      <w:pPr>
        <w:pStyle w:val="Heading2"/>
        <w:spacing w:before="240" w:after="120"/>
      </w:pPr>
      <w:r>
        <w:rPr>
          <w:rFonts w:ascii="Times New Roman" w:hAnsi="Times New Roman"/>
          <w:b/>
        </w:rPr>
        <w:t>3.1 Introduction</w:t>
      </w:r>
    </w:p>
    <w:p>
      <w:pPr>
        <w:spacing w:after="120" w:line="276" w:lineRule="auto"/>
      </w:pPr>
      <w:r>
        <w:t>The methodology chapter provides a comprehensive roadmap of the technical and structural approaches employed to realize the Modular Adaptive Data Node (MADN) for Dynamic Value Systems. Building on the theoretical foundations established in the literature review, this chapter details the systematic process of designing, developing, and validating a decentralized edge computing framework tailored for the unique socio-economic landscape of Bulawayo and its surrounding districts.</w:t>
      </w:r>
    </w:p>
    <w:p>
      <w:pPr>
        <w:spacing w:after="120" w:line="276" w:lineRule="auto"/>
      </w:pPr>
      <w:r>
        <w:t>The primary focus of this methodology is to translate the conceptual goals of localized distributed computing into a functional, hardware-agnostic prototype. This involves a multi-disciplinary approach that integrates embedded systems engineering, distributed software architecture, and real-world application testing across three key domains: precision agriculture, perimeter security, and resilient commerce.</w:t>
      </w:r>
    </w:p>
    <w:p>
      <w:pPr>
        <w:spacing w:after="120" w:line="276" w:lineRule="auto"/>
      </w:pPr>
      <w:r>
        <w:t>The following sections will outline the research design, the specific hardware and software requirements, and the intricate system architecture that enables the MADN to function as a collaborative network of idle computational resources. By adhering to a modular design philosophy, the methodology ensures that each component—from the Raspberry Pi 4 orchestrator to the Raspberry Pi Pico W edge nodes—is documented with the precision required for scientific replication and future scalability. This chapter serves as the bridge between the identified problem of untapped local processing power and the tangible deployment of a resilient, data-driven solution.</w:t>
      </w:r>
    </w:p>
    <w:p>
      <w:pPr>
        <w:pStyle w:val="Heading2"/>
        <w:spacing w:before="240" w:after="120"/>
      </w:pPr>
      <w:r>
        <w:rPr>
          <w:rFonts w:ascii="Times New Roman" w:hAnsi="Times New Roman"/>
          <w:b/>
        </w:rPr>
        <w:t>3.2 Research Design</w:t>
      </w:r>
    </w:p>
    <w:p>
      <w:pPr>
        <w:spacing w:after="120" w:line="276" w:lineRule="auto"/>
      </w:pPr>
      <w:r>
        <w:t xml:space="preserve">The research design for the Modular Adaptive Data Node (MADN) is rooted in the </w:t>
      </w:r>
      <w:r>
        <w:rPr>
          <w:b/>
        </w:rPr>
        <w:t>Design Science Research (DSR)</w:t>
      </w:r>
      <w:r>
        <w:t xml:space="preserve"> paradigm. This approach is particularly suited for information systems and engineering projects where the primary objective is to create and evaluate an innovative artifact—in this case, a decentralized edge computing framework—to solve a practical, localized problem. By utilizing DSR, the study ensures a rigorous balance between creative engineering and scientific validation.</w:t>
      </w:r>
    </w:p>
    <w:p>
      <w:pPr>
        <w:spacing w:after="120" w:line="276" w:lineRule="auto"/>
      </w:pPr>
      <w:r>
        <w:t>The development process follows a systematic iterative cycle, consisting of several distinct phases:</w:t>
      </w:r>
    </w:p>
    <w:p>
      <w:pPr>
        <w:pStyle w:val="ListNumber"/>
        <w:spacing w:after="60"/>
        <w:ind w:left="360"/>
      </w:pPr>
      <w:r>
        <w:rPr>
          <w:b/>
        </w:rPr>
        <w:t>Problem Identification and Motivation:</w:t>
      </w:r>
      <w:r>
        <w:t xml:space="preserve"> This phase involved analyzing the computational resource gap in Bulawayo and Tsholotsho, where idle personal device power remains untapped while critical sectors like agriculture and security lack data-driven solutions.</w:t>
      </w:r>
    </w:p>
    <w:p>
      <w:pPr>
        <w:pStyle w:val="ListNumber"/>
        <w:spacing w:after="60"/>
        <w:ind w:left="360"/>
      </w:pPr>
      <w:r>
        <w:rPr>
          <w:b/>
        </w:rPr>
        <w:t>Definition of the Objectives for a Solution:</w:t>
      </w:r>
      <w:r>
        <w:t xml:space="preserve"> Specific technical goals were established, including the creation of a tiered orchestrator-edge node architecture, an agri-analytics engine, and a distributed micro-transaction ledger.</w:t>
      </w:r>
    </w:p>
    <w:p>
      <w:pPr>
        <w:pStyle w:val="ListNumber"/>
        <w:spacing w:after="60"/>
        <w:ind w:left="360"/>
      </w:pPr>
      <w:r>
        <w:rPr>
          <w:b/>
        </w:rPr>
        <w:t>Design and Development:</w:t>
      </w:r>
      <w:r>
        <w:t xml:space="preserve"> This is the core technical phase where the hardware (Raspberry Pi 4 and Pico W) is integrated and the software modules (Dynamic Resource Scheduler, Mesh-POS, etc.) are programmed. A modular design philosophy is used to ensure system flexibility and scalability.</w:t>
      </w:r>
    </w:p>
    <w:p>
      <w:pPr>
        <w:pStyle w:val="ListNumber"/>
        <w:spacing w:after="60"/>
        <w:ind w:left="360"/>
      </w:pPr>
      <w:r>
        <w:rPr>
          <w:b/>
        </w:rPr>
        <w:t>Demonstration:</w:t>
      </w:r>
      <w:r>
        <w:t xml:space="preserve"> The MADN prototype is deployed in simulated and controlled real-world scenarios to demonstrate its ability to solve the identified problems (e.g., real-time moisture monitoring or offline transaction processing).</w:t>
      </w:r>
    </w:p>
    <w:p>
      <w:pPr>
        <w:pStyle w:val="ListNumber"/>
        <w:spacing w:after="60"/>
        <w:ind w:left="360"/>
      </w:pPr>
      <w:r>
        <w:rPr>
          <w:b/>
        </w:rPr>
        <w:t>Evaluation:</w:t>
      </w:r>
      <w:r>
        <w:t xml:space="preserve"> The system's performance is rigorously measured against established benchmarks, focusing on processing latency, power efficiency, mesh network stability, and data accuracy.</w:t>
      </w:r>
    </w:p>
    <w:p>
      <w:pPr>
        <w:spacing w:after="120" w:line="276" w:lineRule="auto"/>
      </w:pPr>
      <w:r>
        <w:t xml:space="preserve">This research design employs a </w:t>
      </w:r>
      <w:r>
        <w:rPr>
          <w:b/>
        </w:rPr>
        <w:t>mixed-methods approach</w:t>
      </w:r>
      <w:r>
        <w:t xml:space="preserve"> for data collection. Quantitative data is gathered through automated system logs, performance metrics (such as CPU utilization and network latency), and sensor output accuracy. Qualitative insights are derived from situational observations during deployment, focusing on the system's adaptability and user-readiness in low-infrastructure environments. This comprehensive design ensures that the MADN is not only technically sound but also practically relevant to the target community.</w:t>
      </w:r>
    </w:p>
    <w:p>
      <w:pPr>
        <w:pStyle w:val="Heading2"/>
        <w:spacing w:before="240" w:after="120"/>
      </w:pPr>
      <w:r>
        <w:rPr>
          <w:rFonts w:ascii="Times New Roman" w:hAnsi="Times New Roman"/>
          <w:b/>
        </w:rPr>
        <w:t>3.3 System Requirements (Hardware and Software)</w:t>
      </w:r>
    </w:p>
    <w:p>
      <w:pPr>
        <w:spacing w:after="120" w:line="276" w:lineRule="auto"/>
      </w:pPr>
      <w:r>
        <w:t>To realize the decentralized, resilient architecture of the Modular Adaptive Data Node (MADN) within the resource-constrained and infrastructure-unstable environments of Bulawayo and Tsholotsho, a robust selection of hardware and software resources is required. This section delineates the precise system requirements of the prototype ecosystem, structured to support localized operation, local-first data processing, and physical durability.</w:t>
      </w:r>
    </w:p>
    <w:p>
      <w:pPr>
        <w:spacing w:after="240"/>
        <w:jc w:val="center"/>
      </w:pPr>
      <w:r>
        <w:rPr>
          <w:color w:val="C8C8C8"/>
        </w:rPr>
        <w:t>____________________________________________________</w:t>
      </w:r>
    </w:p>
    <w:p>
      <w:pPr>
        <w:pStyle w:val="Heading3"/>
        <w:spacing w:before="120" w:after="80"/>
      </w:pPr>
      <w:r>
        <w:rPr>
          <w:rFonts w:ascii="Times New Roman" w:hAnsi="Times New Roman"/>
          <w:b/>
        </w:rPr>
        <w:t>3.3.1 Hardware Requirements</w:t>
      </w:r>
    </w:p>
    <w:p>
      <w:pPr>
        <w:spacing w:after="120" w:line="276" w:lineRule="auto"/>
      </w:pPr>
      <w:r>
        <w:t>The physical infrastructure of the MADN is divided into three functional tiers: the Central Orchestration Tier (The Vault), the Edge Sensing and Processing Tier (The Intelligent Core), and the Swappable Value Modules. These are complemented by a resilient power and physical enclosure subsystem.</w:t>
      </w:r>
    </w:p>
    <w:p>
      <w:pPr>
        <w:spacing w:after="0"/>
        <w:ind w:left="720"/>
      </w:pPr>
      <w:r>
        <w:rPr>
          <w:rFonts w:ascii="Consolas" w:hAnsi="Consolas"/>
          <w:color w:val="505050"/>
          <w:sz w:val="18"/>
        </w:rPr>
        <w:t>graph TD</w:t>
        <w:br/>
      </w:r>
    </w:p>
    <w:p>
      <w:pPr>
        <w:spacing w:after="0"/>
        <w:ind w:left="720"/>
      </w:pPr>
      <w:r>
        <w:rPr>
          <w:rFonts w:ascii="Consolas" w:hAnsi="Consolas"/>
          <w:color w:val="505050"/>
          <w:sz w:val="18"/>
        </w:rPr>
        <w:t xml:space="preserve">    %% Styling Classes</w:t>
        <w:br/>
      </w:r>
    </w:p>
    <w:p>
      <w:pPr>
        <w:spacing w:after="0"/>
        <w:ind w:left="720"/>
      </w:pPr>
      <w:r>
        <w:rPr>
          <w:rFonts w:ascii="Consolas" w:hAnsi="Consolas"/>
          <w:color w:val="505050"/>
          <w:sz w:val="18"/>
        </w:rPr>
        <w:t xml:space="preserve">    classDef vaultStyle fill:#1a365d,stroke:#3182ce,stroke-width:2px,color:#fff;</w:t>
        <w:br/>
      </w:r>
    </w:p>
    <w:p>
      <w:pPr>
        <w:spacing w:after="0"/>
        <w:ind w:left="720"/>
      </w:pPr>
      <w:r>
        <w:rPr>
          <w:rFonts w:ascii="Consolas" w:hAnsi="Consolas"/>
          <w:color w:val="505050"/>
          <w:sz w:val="18"/>
        </w:rPr>
        <w:t xml:space="preserve">    classDef edgeStyle fill:#2d3748,stroke:#718096,stroke-width:2px,color:#fff;</w:t>
        <w:br/>
      </w:r>
    </w:p>
    <w:p>
      <w:pPr>
        <w:spacing w:after="0"/>
        <w:ind w:left="720"/>
      </w:pPr>
      <w:r>
        <w:rPr>
          <w:rFonts w:ascii="Consolas" w:hAnsi="Consolas"/>
          <w:color w:val="505050"/>
          <w:sz w:val="18"/>
        </w:rPr>
        <w:t xml:space="preserve">    classDef moduleStyle fill:#2c5282,stroke:#4299e1,stroke-width:2px,color:#fff;</w:t>
        <w:br/>
      </w:r>
    </w:p>
    <w:p>
      <w:pPr>
        <w:spacing w:after="0"/>
        <w:ind w:left="720"/>
      </w:pPr>
      <w:r>
        <w:rPr>
          <w:rFonts w:ascii="Consolas" w:hAnsi="Consolas"/>
          <w:color w:val="505050"/>
          <w:sz w:val="18"/>
        </w:rPr>
        <w:t xml:space="preserve">    classDef subModuleStyle fill:#1a202c,stroke:#a0aec0,stroke-width:1px,color:#e2e8f0;</w:t>
        <w:br/>
      </w:r>
    </w:p>
    <w:p>
      <w:pPr>
        <w:spacing w:after="0"/>
        <w:ind w:left="720"/>
      </w:pPr>
      <w:r>
        <w:rPr>
          <w:rFonts w:ascii="Consolas" w:hAnsi="Consolas"/>
          <w:color w:val="505050"/>
          <w:sz w:val="18"/>
        </w:rPr>
        <w:t xml:space="preserve">    subgraph VaultTier ["Central Orchestration Tier (The Vault)"]</w:t>
        <w:br/>
      </w:r>
    </w:p>
    <w:p>
      <w:pPr>
        <w:spacing w:after="0"/>
        <w:ind w:left="720"/>
      </w:pPr>
      <w:r>
        <w:rPr>
          <w:rFonts w:ascii="Consolas" w:hAnsi="Consolas"/>
          <w:color w:val="505050"/>
          <w:sz w:val="18"/>
        </w:rPr>
        <w:t xml:space="preserve">        Vault["Raspberry Pi 4 Model B (4GB LPDDR4 RAM)"]:::vaultStyle</w:t>
        <w:br/>
      </w:r>
    </w:p>
    <w:p>
      <w:pPr>
        <w:spacing w:after="0"/>
        <w:ind w:left="720"/>
      </w:pPr>
      <w:r>
        <w:rPr>
          <w:rFonts w:ascii="Consolas" w:hAnsi="Consolas"/>
          <w:color w:val="505050"/>
          <w:sz w:val="18"/>
        </w:rPr>
        <w:t xml:space="preserve">        SD["128GB High-Endurance MicroSD"]:::vaultStyle</w:t>
        <w:br/>
      </w:r>
    </w:p>
    <w:p>
      <w:pPr>
        <w:spacing w:after="0"/>
        <w:ind w:left="720"/>
      </w:pPr>
      <w:r>
        <w:rPr>
          <w:rFonts w:ascii="Consolas" w:hAnsi="Consolas"/>
          <w:color w:val="505050"/>
          <w:sz w:val="18"/>
        </w:rPr>
        <w:t xml:space="preserve">        Proj["Portable Projector"]:::vaultStyle</w:t>
        <w:br/>
      </w:r>
    </w:p>
    <w:p>
      <w:pPr>
        <w:spacing w:after="0"/>
        <w:ind w:left="720"/>
      </w:pPr>
      <w:r>
        <w:rPr>
          <w:rFonts w:ascii="Consolas" w:hAnsi="Consolas"/>
          <w:color w:val="505050"/>
          <w:sz w:val="18"/>
        </w:rPr>
        <w:t xml:space="preserve">        Cooling["Active Cooling (Dual-Fan System)"]:::vaultStyle</w:t>
        <w:br/>
      </w:r>
    </w:p>
    <w:p>
      <w:pPr>
        <w:spacing w:after="0"/>
        <w:ind w:left="720"/>
      </w:pPr>
      <w:r>
        <w:rPr>
          <w:rFonts w:ascii="Consolas" w:hAnsi="Consolas"/>
          <w:color w:val="505050"/>
          <w:sz w:val="18"/>
        </w:rPr>
        <w:t xml:space="preserve">        VaultPower["USB-C PSU / Power Bank"]:::vaultStyle</w:t>
        <w:br/>
      </w:r>
    </w:p>
    <w:p>
      <w:pPr>
        <w:spacing w:after="0"/>
        <w:ind w:left="720"/>
      </w:pPr>
      <w:r>
        <w:rPr>
          <w:rFonts w:ascii="Consolas" w:hAnsi="Consolas"/>
          <w:color w:val="505050"/>
          <w:sz w:val="18"/>
        </w:rPr>
        <w:t xml:space="preserve">        Vault --- SD</w:t>
        <w:br/>
      </w:r>
    </w:p>
    <w:p>
      <w:pPr>
        <w:spacing w:after="0"/>
        <w:ind w:left="720"/>
      </w:pPr>
      <w:r>
        <w:rPr>
          <w:rFonts w:ascii="Consolas" w:hAnsi="Consolas"/>
          <w:color w:val="505050"/>
          <w:sz w:val="18"/>
        </w:rPr>
        <w:t xml:space="preserve">        Vault --- Proj</w:t>
        <w:br/>
      </w:r>
    </w:p>
    <w:p>
      <w:pPr>
        <w:spacing w:after="0"/>
        <w:ind w:left="720"/>
      </w:pPr>
      <w:r>
        <w:rPr>
          <w:rFonts w:ascii="Consolas" w:hAnsi="Consolas"/>
          <w:color w:val="505050"/>
          <w:sz w:val="18"/>
        </w:rPr>
        <w:t xml:space="preserve">        Vault --- Cooling</w:t>
        <w:br/>
      </w:r>
    </w:p>
    <w:p>
      <w:pPr>
        <w:spacing w:after="0"/>
        <w:ind w:left="720"/>
      </w:pPr>
      <w:r>
        <w:rPr>
          <w:rFonts w:ascii="Consolas" w:hAnsi="Consolas"/>
          <w:color w:val="505050"/>
          <w:sz w:val="18"/>
        </w:rPr>
        <w:t xml:space="preserve">        Vault --- VaultPower</w:t>
        <w:br/>
      </w:r>
    </w:p>
    <w:p>
      <w:pPr>
        <w:spacing w:after="0"/>
        <w:ind w:left="720"/>
      </w:pPr>
      <w:r>
        <w:rPr>
          <w:rFonts w:ascii="Consolas" w:hAnsi="Consolas"/>
          <w:color w:val="505050"/>
          <w:sz w:val="18"/>
        </w:rPr>
        <w:t xml:space="preserve">    end</w:t>
        <w:br/>
      </w:r>
    </w:p>
    <w:p>
      <w:pPr>
        <w:spacing w:after="0"/>
        <w:ind w:left="720"/>
      </w:pPr>
      <w:r>
        <w:rPr>
          <w:rFonts w:ascii="Consolas" w:hAnsi="Consolas"/>
          <w:color w:val="505050"/>
          <w:sz w:val="18"/>
        </w:rPr>
        <w:t xml:space="preserve">    subgraph EdgeTier ["Edge Sensing &amp; Processing Tier (Intelligent Core)"]</w:t>
        <w:br/>
      </w:r>
    </w:p>
    <w:p>
      <w:pPr>
        <w:spacing w:after="0"/>
        <w:ind w:left="720"/>
      </w:pPr>
      <w:r>
        <w:rPr>
          <w:rFonts w:ascii="Consolas" w:hAnsi="Consolas"/>
          <w:color w:val="505050"/>
          <w:sz w:val="18"/>
        </w:rPr>
        <w:t xml:space="preserve">        PicoW["Raspberry Pi Pico W (RP2040 MCU, 2MB Flash)"]:::edgeStyle</w:t>
        <w:br/>
      </w:r>
    </w:p>
    <w:p>
      <w:pPr>
        <w:spacing w:after="0"/>
        <w:ind w:left="720"/>
      </w:pPr>
      <w:r>
        <w:rPr>
          <w:rFonts w:ascii="Consolas" w:hAnsi="Consolas"/>
          <w:color w:val="505050"/>
          <w:sz w:val="18"/>
        </w:rPr>
        <w:t xml:space="preserve">        Shield["Pico Screw Terminal Shield (Solderless Interface)"]:::edgeStyle</w:t>
        <w:br/>
      </w:r>
    </w:p>
    <w:p>
      <w:pPr>
        <w:spacing w:after="0"/>
        <w:ind w:left="720"/>
      </w:pPr>
      <w:r>
        <w:rPr>
          <w:rFonts w:ascii="Consolas" w:hAnsi="Consolas"/>
          <w:color w:val="505050"/>
          <w:sz w:val="18"/>
        </w:rPr>
        <w:t xml:space="preserve">        PicoUPS["18650 Li-Ion Battery Module (TP4056 &amp; JST Harness)"]:::edgeStyle</w:t>
        <w:br/>
      </w:r>
    </w:p>
    <w:p>
      <w:pPr>
        <w:spacing w:after="0"/>
        <w:ind w:left="720"/>
      </w:pPr>
      <w:r>
        <w:rPr>
          <w:rFonts w:ascii="Consolas" w:hAnsi="Consolas"/>
          <w:color w:val="505050"/>
          <w:sz w:val="18"/>
        </w:rPr>
        <w:t xml:space="preserve">        PicoW --- Shield</w:t>
        <w:br/>
      </w:r>
    </w:p>
    <w:p>
      <w:pPr>
        <w:spacing w:after="0"/>
        <w:ind w:left="720"/>
      </w:pPr>
      <w:r>
        <w:rPr>
          <w:rFonts w:ascii="Consolas" w:hAnsi="Consolas"/>
          <w:color w:val="505050"/>
          <w:sz w:val="18"/>
        </w:rPr>
        <w:t xml:space="preserve">        PicoW --- PicoUPS</w:t>
        <w:br/>
      </w:r>
    </w:p>
    <w:p>
      <w:pPr>
        <w:spacing w:after="0"/>
        <w:ind w:left="720"/>
      </w:pPr>
      <w:r>
        <w:rPr>
          <w:rFonts w:ascii="Consolas" w:hAnsi="Consolas"/>
          <w:color w:val="505050"/>
          <w:sz w:val="18"/>
        </w:rPr>
        <w:t xml:space="preserve">    end</w:t>
        <w:br/>
      </w:r>
    </w:p>
    <w:p>
      <w:pPr>
        <w:spacing w:after="0"/>
        <w:ind w:left="720"/>
      </w:pPr>
      <w:r>
        <w:rPr>
          <w:rFonts w:ascii="Consolas" w:hAnsi="Consolas"/>
          <w:color w:val="505050"/>
          <w:sz w:val="18"/>
        </w:rPr>
        <w:t xml:space="preserve">    %% Communication link</w:t>
        <w:br/>
      </w:r>
    </w:p>
    <w:p>
      <w:pPr>
        <w:spacing w:after="0"/>
        <w:ind w:left="720"/>
      </w:pPr>
      <w:r>
        <w:rPr>
          <w:rFonts w:ascii="Consolas" w:hAnsi="Consolas"/>
          <w:color w:val="505050"/>
          <w:sz w:val="18"/>
        </w:rPr>
        <w:t xml:space="preserve">    PicoW == "Local Wi-Fi / MQTT (Offline AP)" ==&gt; Vault</w:t>
        <w:br/>
      </w:r>
    </w:p>
    <w:p>
      <w:pPr>
        <w:spacing w:after="0"/>
        <w:ind w:left="720"/>
      </w:pPr>
      <w:r>
        <w:rPr>
          <w:rFonts w:ascii="Consolas" w:hAnsi="Consolas"/>
          <w:color w:val="505050"/>
          <w:sz w:val="18"/>
        </w:rPr>
        <w:t xml:space="preserve">    subgraph MobilePOS ["Mobile Integration Tier"]</w:t>
        <w:br/>
      </w:r>
    </w:p>
    <w:p>
      <w:pPr>
        <w:spacing w:after="0"/>
        <w:ind w:left="720"/>
      </w:pPr>
      <w:r>
        <w:rPr>
          <w:rFonts w:ascii="Consolas" w:hAnsi="Consolas"/>
          <w:color w:val="505050"/>
          <w:sz w:val="18"/>
        </w:rPr>
        <w:t xml:space="preserve">        Phone["Mobile Device (Mesh-POS Client Interface)"]:::vaultStyle</w:t>
        <w:br/>
      </w:r>
    </w:p>
    <w:p>
      <w:pPr>
        <w:spacing w:after="0"/>
        <w:ind w:left="720"/>
      </w:pPr>
      <w:r>
        <w:rPr>
          <w:rFonts w:ascii="Consolas" w:hAnsi="Consolas"/>
          <w:color w:val="505050"/>
          <w:sz w:val="18"/>
        </w:rPr>
        <w:t xml:space="preserve">    end</w:t>
        <w:br/>
      </w:r>
    </w:p>
    <w:p>
      <w:pPr>
        <w:spacing w:after="0"/>
        <w:ind w:left="720"/>
      </w:pPr>
      <w:r>
        <w:rPr>
          <w:rFonts w:ascii="Consolas" w:hAnsi="Consolas"/>
          <w:color w:val="505050"/>
          <w:sz w:val="18"/>
        </w:rPr>
        <w:t xml:space="preserve">    %% Mobile connection</w:t>
        <w:br/>
      </w:r>
    </w:p>
    <w:p>
      <w:pPr>
        <w:spacing w:after="0"/>
        <w:ind w:left="720"/>
      </w:pPr>
      <w:r>
        <w:rPr>
          <w:rFonts w:ascii="Consolas" w:hAnsi="Consolas"/>
          <w:color w:val="505050"/>
          <w:sz w:val="18"/>
        </w:rPr>
        <w:t xml:space="preserve">    Phone == "Local Wi-Fi / Bluetooth" ==&gt; Vault</w:t>
        <w:br/>
      </w:r>
    </w:p>
    <w:p>
      <w:pPr>
        <w:spacing w:after="0"/>
        <w:ind w:left="720"/>
      </w:pPr>
      <w:r>
        <w:rPr>
          <w:rFonts w:ascii="Consolas" w:hAnsi="Consolas"/>
          <w:color w:val="505050"/>
          <w:sz w:val="18"/>
        </w:rPr>
        <w:t xml:space="preserve">    subgraph Modules ["Swappable Value Modules"]</w:t>
        <w:br/>
      </w:r>
    </w:p>
    <w:p>
      <w:pPr>
        <w:spacing w:after="0"/>
        <w:ind w:left="720"/>
      </w:pPr>
      <w:r>
        <w:rPr>
          <w:rFonts w:ascii="Consolas" w:hAnsi="Consolas"/>
          <w:color w:val="505050"/>
          <w:sz w:val="18"/>
        </w:rPr>
        <w:t xml:space="preserve">        subgraph AgriModule ["Agri-Analytics Engine"]</w:t>
        <w:br/>
      </w:r>
    </w:p>
    <w:p>
      <w:pPr>
        <w:spacing w:after="0"/>
        <w:ind w:left="720"/>
      </w:pPr>
      <w:r>
        <w:rPr>
          <w:rFonts w:ascii="Consolas" w:hAnsi="Consolas"/>
          <w:color w:val="505050"/>
          <w:sz w:val="18"/>
        </w:rPr>
        <w:t xml:space="preserve">            Agri1["Capacitive Soil Sensor"]:::subModuleStyle</w:t>
        <w:br/>
      </w:r>
    </w:p>
    <w:p>
      <w:pPr>
        <w:spacing w:after="0"/>
        <w:ind w:left="720"/>
      </w:pPr>
      <w:r>
        <w:rPr>
          <w:rFonts w:ascii="Consolas" w:hAnsi="Consolas"/>
          <w:color w:val="505050"/>
          <w:sz w:val="18"/>
        </w:rPr>
        <w:t xml:space="preserve">            Agri2["DHT22 Temp and Humidity Sensor"]:::subModuleStyle</w:t>
        <w:br/>
      </w:r>
    </w:p>
    <w:p>
      <w:pPr>
        <w:spacing w:after="0"/>
        <w:ind w:left="720"/>
      </w:pPr>
      <w:r>
        <w:rPr>
          <w:rFonts w:ascii="Consolas" w:hAnsi="Consolas"/>
          <w:color w:val="505050"/>
          <w:sz w:val="18"/>
        </w:rPr>
        <w:t xml:space="preserve">        end</w:t>
        <w:br/>
      </w:r>
    </w:p>
    <w:p>
      <w:pPr>
        <w:spacing w:after="0"/>
        <w:ind w:left="720"/>
      </w:pPr>
      <w:r>
        <w:rPr>
          <w:rFonts w:ascii="Consolas" w:hAnsi="Consolas"/>
          <w:color w:val="505050"/>
          <w:sz w:val="18"/>
        </w:rPr>
        <w:t xml:space="preserve">        subgraph SecurityModule ["Edge-Alert Security Gateway"]</w:t>
        <w:br/>
      </w:r>
    </w:p>
    <w:p>
      <w:pPr>
        <w:spacing w:after="0"/>
        <w:ind w:left="720"/>
      </w:pPr>
      <w:r>
        <w:rPr>
          <w:rFonts w:ascii="Consolas" w:hAnsi="Consolas"/>
          <w:color w:val="505050"/>
          <w:sz w:val="18"/>
        </w:rPr>
        <w:t xml:space="preserve">            Sec1["HC-SR501 PIR Motion Sensor"]:::subModuleStyle</w:t>
        <w:br/>
      </w:r>
    </w:p>
    <w:p>
      <w:pPr>
        <w:spacing w:after="0"/>
        <w:ind w:left="720"/>
      </w:pPr>
      <w:r>
        <w:rPr>
          <w:rFonts w:ascii="Consolas" w:hAnsi="Consolas"/>
          <w:color w:val="505050"/>
          <w:sz w:val="18"/>
        </w:rPr>
        <w:t xml:space="preserve">            Sec2["HC-SR04 Ultrasonic Sensor"]:::subModuleStyle</w:t>
        <w:br/>
      </w:r>
    </w:p>
    <w:p>
      <w:pPr>
        <w:spacing w:after="0"/>
        <w:ind w:left="720"/>
      </w:pPr>
      <w:r>
        <w:rPr>
          <w:rFonts w:ascii="Consolas" w:hAnsi="Consolas"/>
          <w:color w:val="505050"/>
          <w:sz w:val="18"/>
        </w:rPr>
        <w:t xml:space="preserve">        end</w:t>
        <w:br/>
      </w:r>
    </w:p>
    <w:p>
      <w:pPr>
        <w:spacing w:after="0"/>
        <w:ind w:left="720"/>
      </w:pPr>
      <w:r>
        <w:rPr>
          <w:rFonts w:ascii="Consolas" w:hAnsi="Consolas"/>
          <w:color w:val="505050"/>
          <w:sz w:val="18"/>
        </w:rPr>
        <w:t xml:space="preserve">        subgraph UIModule ["UI &amp; Interface Modules"]</w:t>
        <w:br/>
      </w:r>
    </w:p>
    <w:p>
      <w:pPr>
        <w:spacing w:after="0"/>
        <w:ind w:left="720"/>
      </w:pPr>
      <w:r>
        <w:rPr>
          <w:rFonts w:ascii="Consolas" w:hAnsi="Consolas"/>
          <w:color w:val="505050"/>
          <w:sz w:val="18"/>
        </w:rPr>
        <w:t xml:space="preserve">            UI1["SPI TFT Display"]:::subModuleStyle</w:t>
        <w:br/>
      </w:r>
    </w:p>
    <w:p>
      <w:pPr>
        <w:spacing w:after="0"/>
        <w:ind w:left="720"/>
      </w:pPr>
      <w:r>
        <w:rPr>
          <w:rFonts w:ascii="Consolas" w:hAnsi="Consolas"/>
          <w:color w:val="505050"/>
          <w:sz w:val="18"/>
        </w:rPr>
        <w:t xml:space="preserve">            UI3["Tactile Push Buttons"]:::subModuleStyle</w:t>
        <w:br/>
      </w:r>
    </w:p>
    <w:p>
      <w:pPr>
        <w:spacing w:after="0"/>
        <w:ind w:left="720"/>
      </w:pPr>
      <w:r>
        <w:rPr>
          <w:rFonts w:ascii="Consolas" w:hAnsi="Consolas"/>
          <w:color w:val="505050"/>
          <w:sz w:val="18"/>
        </w:rPr>
        <w:t xml:space="preserve">        end</w:t>
        <w:br/>
      </w:r>
    </w:p>
    <w:p>
      <w:pPr>
        <w:spacing w:after="0"/>
        <w:ind w:left="720"/>
      </w:pPr>
      <w:r>
        <w:rPr>
          <w:rFonts w:ascii="Consolas" w:hAnsi="Consolas"/>
          <w:color w:val="505050"/>
          <w:sz w:val="18"/>
        </w:rPr>
        <w:t xml:space="preserve">    end</w:t>
        <w:br/>
      </w:r>
    </w:p>
    <w:p>
      <w:pPr>
        <w:spacing w:after="0"/>
        <w:ind w:left="720"/>
      </w:pPr>
      <w:r>
        <w:rPr>
          <w:rFonts w:ascii="Consolas" w:hAnsi="Consolas"/>
          <w:color w:val="505050"/>
          <w:sz w:val="18"/>
        </w:rPr>
        <w:t xml:space="preserve">    %% Wiring links</w:t>
        <w:br/>
      </w:r>
    </w:p>
    <w:p>
      <w:pPr>
        <w:spacing w:after="0"/>
        <w:ind w:left="720"/>
      </w:pPr>
      <w:r>
        <w:rPr>
          <w:rFonts w:ascii="Consolas" w:hAnsi="Consolas"/>
          <w:color w:val="505050"/>
          <w:sz w:val="18"/>
        </w:rPr>
        <w:t xml:space="preserve">    Shield ==&gt;|"Universal Bus (GPIO / I2C / SPI)"| Modules</w:t>
        <w:br/>
      </w:r>
    </w:p>
    <w:p>
      <w:pPr>
        <w:pStyle w:val="Heading4"/>
        <w:spacing w:before="120" w:after="80"/>
      </w:pPr>
      <w:r>
        <w:rPr>
          <w:rFonts w:ascii="Times New Roman" w:hAnsi="Times New Roman"/>
          <w:b/>
          <w:i/>
        </w:rPr>
        <w:t>1. Central Orchestration &amp; Storage Tier (The Vault)</w:t>
      </w:r>
    </w:p>
    <w:p>
      <w:pPr>
        <w:spacing w:after="120" w:line="276" w:lineRule="auto"/>
      </w:pPr>
      <w:r>
        <w:t>The orchestration hub serves as the primary coordination point for local data accumulation, model inference, and local-first network routing.</w:t>
      </w:r>
    </w:p>
    <w:p>
      <w:pPr>
        <w:pStyle w:val="ListBullet"/>
        <w:spacing w:after="60"/>
        <w:ind w:left="360"/>
      </w:pPr>
      <w:r>
        <w:rPr>
          <w:b/>
        </w:rPr>
        <w:t>Central Computing Unit</w:t>
      </w:r>
      <w:r>
        <w:t>: Raspberry Pi 4 Model B equipped with a Broadcom BCM2711 quad-core Cortex-A72 (ARM v8) 64-bit SoC @ 1.5GHz, configured with 4GB (or 8GB) of LPDDR4-3200 SDRAM. This level of RAM is required to run multi-threaded Python logic, local databases, and inference runtimes concurrently.</w:t>
      </w:r>
    </w:p>
    <w:p>
      <w:pPr>
        <w:pStyle w:val="ListBullet"/>
        <w:spacing w:after="60"/>
        <w:ind w:left="360"/>
      </w:pPr>
      <w:r>
        <w:rPr>
          <w:b/>
        </w:rPr>
        <w:t>System Storage</w:t>
      </w:r>
      <w:r>
        <w:t>: A 128GB high-endurance Class 10 UHS-I MicroSD Card. This capacity is necessary to support a local-first time-series database containing extensive historical telemetry, local transaction ledgers, intrusion alert logs captured by the security gateway, and system log files.</w:t>
      </w:r>
    </w:p>
    <w:p>
      <w:pPr>
        <w:pStyle w:val="ListBullet"/>
        <w:spacing w:after="60"/>
        <w:ind w:left="360"/>
      </w:pPr>
      <w:r>
        <w:rPr>
          <w:b/>
        </w:rPr>
        <w:t>Peripherals</w:t>
      </w:r>
      <w:r>
        <w:t>:</w:t>
      </w:r>
    </w:p>
    <w:p>
      <w:pPr>
        <w:pStyle w:val="ListBullet"/>
        <w:spacing w:after="60"/>
        <w:ind w:left="360"/>
      </w:pPr>
      <w:r>
        <w:t>A low-power portable projector. This peripheral enables local administrators to manage system configurations, run diagnostic checks, and present analytical data (such as soil moisture analytics and irrigation/watering alerts) directly to community groups in field conditions where traditional monitors are impractical.</w:t>
      </w:r>
    </w:p>
    <w:p>
      <w:pPr>
        <w:pStyle w:val="ListBullet"/>
        <w:spacing w:after="60"/>
        <w:ind w:left="360"/>
      </w:pPr>
      <w:r>
        <w:rPr>
          <w:b/>
        </w:rPr>
        <w:t>Thermal Management</w:t>
      </w:r>
      <w:r>
        <w:t>: An active dual-fan cooling system (copper micro-heatsinks have been omitted to minimize deployment costs). This active system is required to mitigate the high ambient temperatures characteristic of Bulawayo and Tsholotsho, preventing thermal throttling and maintaining processing throughput.</w:t>
      </w:r>
    </w:p>
    <w:p>
      <w:pPr>
        <w:pStyle w:val="ListBullet"/>
        <w:spacing w:after="60"/>
        <w:ind w:left="360"/>
      </w:pPr>
      <w:r>
        <w:rPr>
          <w:b/>
        </w:rPr>
        <w:t>Power Supply</w:t>
      </w:r>
      <w:r>
        <w:t>: Powered via a standard 5V USB-C Power Supply Unit (PSU) or a portable power bank, providing operational flexibility during grid disruptions.</w:t>
      </w:r>
    </w:p>
    <w:p>
      <w:pPr>
        <w:pStyle w:val="Heading4"/>
        <w:spacing w:before="120" w:after="80"/>
      </w:pPr>
      <w:r>
        <w:rPr>
          <w:rFonts w:ascii="Times New Roman" w:hAnsi="Times New Roman"/>
          <w:b/>
          <w:i/>
        </w:rPr>
        <w:t>2. Edge Sensing and Processing Tier (Intelligent Core)</w:t>
      </w:r>
    </w:p>
    <w:p>
      <w:pPr>
        <w:spacing w:after="120" w:line="276" w:lineRule="auto"/>
      </w:pPr>
      <w:r>
        <w:t>The edge nodes process raw data at the boundary of the physical environment before transmitting structured summaries to the central hub.</w:t>
      </w:r>
    </w:p>
    <w:p>
      <w:pPr>
        <w:pStyle w:val="ListBullet"/>
        <w:spacing w:after="60"/>
        <w:ind w:left="360"/>
      </w:pPr>
      <w:r>
        <w:rPr>
          <w:b/>
        </w:rPr>
        <w:t>Compute Unit</w:t>
      </w:r>
      <w:r>
        <w:t>: Raspberry Pi Pico W microcontrollers. Each node features the RP2040 chip, which hosts two ARM Cortex-M0+ cores clocked up to 133MHz, 264KB of embedded SRAM, and 2MB of onboard QSPI flash storage. A built-in Infineon CYW43439 wireless interface provides single-band 2.4GHz Wi-Fi connectivity (802.11n).</w:t>
      </w:r>
    </w:p>
    <w:p>
      <w:pPr>
        <w:pStyle w:val="ListBullet"/>
        <w:spacing w:after="60"/>
        <w:ind w:left="360"/>
      </w:pPr>
      <w:r>
        <w:rPr>
          <w:b/>
        </w:rPr>
        <w:t>Assembly Interface</w:t>
      </w:r>
      <w:r>
        <w:t>: Pico Screw Terminal Expansion Shields. To facilitate rapid, solderless deployment and quick field maintenance, all wire connections from sensors to the Pico W GPIO pins are secured via screw terminal blocks. This prevents wire shearing and connection degradation in rugged operational environments.</w:t>
      </w:r>
    </w:p>
    <w:p>
      <w:pPr>
        <w:pStyle w:val="ListBullet"/>
        <w:spacing w:after="60"/>
        <w:ind w:left="360"/>
      </w:pPr>
      <w:r>
        <w:rPr>
          <w:b/>
        </w:rPr>
        <w:t>Prototyping Materials</w:t>
      </w:r>
      <w:r>
        <w:t>: Mini solderless breadboards and male-to-male/male-to-female/female-to-female jumper wires to facilitate fast experimental adjustments of newly introduced sensing elements.</w:t>
      </w:r>
    </w:p>
    <w:p>
      <w:pPr>
        <w:pStyle w:val="Heading4"/>
        <w:spacing w:before="120" w:after="80"/>
      </w:pPr>
      <w:r>
        <w:rPr>
          <w:rFonts w:ascii="Times New Roman" w:hAnsi="Times New Roman"/>
          <w:b/>
          <w:i/>
        </w:rPr>
        <w:t>3. Swappable Value Modules</w:t>
      </w:r>
    </w:p>
    <w:p>
      <w:pPr>
        <w:spacing w:after="120" w:line="276" w:lineRule="auto"/>
      </w:pPr>
      <w:r>
        <w:t>Sensors and input-output peripherals are standardized to connect to the Intelligent Core using a universal bus structure.</w:t>
      </w:r>
    </w:p>
    <w:p>
      <w:pPr>
        <w:pStyle w:val="ListBullet"/>
        <w:spacing w:after="60"/>
        <w:ind w:left="360"/>
      </w:pPr>
      <w:r>
        <w:rPr>
          <w:b/>
        </w:rPr>
        <w:t>Agri-Analytics Engine (Precision Farming)</w:t>
      </w:r>
      <w:r>
        <w:t>:</w:t>
      </w:r>
    </w:p>
    <w:p>
      <w:pPr>
        <w:pStyle w:val="ListBullet"/>
        <w:spacing w:after="60"/>
        <w:ind w:left="360"/>
      </w:pPr>
      <w:r>
        <w:t>*Capacitive Soil Moisture Sensors*: Custom calibrated to prevent electrical corrosion of the probe tips (which occurs on cheap resistive soil probes), ensuring long-term operational lifespan in acidic and alkaline soils.</w:t>
      </w:r>
    </w:p>
    <w:p>
      <w:pPr>
        <w:pStyle w:val="ListBullet"/>
        <w:spacing w:after="60"/>
        <w:ind w:left="360"/>
      </w:pPr>
      <w:r>
        <w:t>*DHT22 (AM2302) Sensors*: High-accuracy capacitive humidity and thermistor temperature sensors, capable of reading relative humidity from 0–100% (±2% accuracy) and temperatures from -40°C to 80°C (±0.5°C accuracy) to monitor microclimatic variations.</w:t>
      </w:r>
    </w:p>
    <w:p>
      <w:pPr>
        <w:pStyle w:val="ListBullet"/>
        <w:spacing w:after="60"/>
        <w:ind w:left="360"/>
      </w:pPr>
      <w:r>
        <w:rPr>
          <w:b/>
        </w:rPr>
        <w:t>Edge-Alert Security Gateway (Perimeter Security)</w:t>
      </w:r>
      <w:r>
        <w:t>:</w:t>
      </w:r>
    </w:p>
    <w:p>
      <w:pPr>
        <w:pStyle w:val="ListBullet"/>
        <w:spacing w:after="60"/>
        <w:ind w:left="360"/>
      </w:pPr>
      <w:r>
        <w:t>*Passive Infrared (PIR) Sensors (HC-SR501)*: Low-power infrared motion detectors with adjustable sensitivity and delay timers. These function as physical triggers connected to the Pico W, which send state updates (alerts) to the Orchestrator via MQTT.</w:t>
      </w:r>
    </w:p>
    <w:p>
      <w:pPr>
        <w:pStyle w:val="ListBullet"/>
        <w:spacing w:after="60"/>
        <w:ind w:left="360"/>
      </w:pPr>
      <w:r>
        <w:t>*Ultrasonic Distance Sensors (HC-SR04)*: Capable of non-contact distance measurement from 2cm to 400cm (±3mm accuracy), used to construct virtual tripwires connected to the Pico W to detect physical entry, publishing state alerts to the central hub.</w:t>
      </w:r>
    </w:p>
    <w:p>
      <w:pPr>
        <w:pStyle w:val="ListBullet"/>
        <w:spacing w:after="60"/>
        <w:ind w:left="360"/>
      </w:pPr>
      <w:r>
        <w:rPr>
          <w:b/>
        </w:rPr>
        <w:t>User Interface &amp; Controls</w:t>
      </w:r>
      <w:r>
        <w:t>:</w:t>
      </w:r>
    </w:p>
    <w:p>
      <w:pPr>
        <w:pStyle w:val="ListBullet"/>
        <w:spacing w:after="60"/>
        <w:ind w:left="360"/>
      </w:pPr>
      <w:r>
        <w:t>*SPI TFT Display (1.8-inch or 2.4-inch)*: Low-power color screens providing local output readouts (e.g., current moisture level, last transaction status, battery capacity).</w:t>
      </w:r>
    </w:p>
    <w:p>
      <w:pPr>
        <w:pStyle w:val="ListBullet"/>
        <w:spacing w:after="60"/>
        <w:ind w:left="360"/>
      </w:pPr>
      <w:r>
        <w:t>*Tactile Buttons*: Rugged push-buttons for local input commands (e.g., manual override, display toggle, power-down request).</w:t>
      </w:r>
    </w:p>
    <w:p>
      <w:pPr>
        <w:pStyle w:val="Heading4"/>
        <w:spacing w:before="120" w:after="80"/>
      </w:pPr>
      <w:r>
        <w:rPr>
          <w:rFonts w:ascii="Times New Roman" w:hAnsi="Times New Roman"/>
          <w:b/>
          <w:i/>
        </w:rPr>
        <w:t>4. Mobile Point-of-Sale (POS) Client Tier</w:t>
      </w:r>
    </w:p>
    <w:p>
      <w:pPr>
        <w:spacing w:after="120" w:line="276" w:lineRule="auto"/>
      </w:pPr>
      <w:r>
        <w:t>To eliminate the cost and complexity of dedicated scanner and reader modules on every node, Point-of-Sale (POS) client terminals are offloaded to consumer-grade mobile devices (smartphones or tablets) operated by merchants or community leads.</w:t>
      </w:r>
    </w:p>
    <w:p>
      <w:pPr>
        <w:pStyle w:val="ListBullet"/>
        <w:spacing w:after="60"/>
        <w:ind w:left="360"/>
      </w:pPr>
      <w:r>
        <w:rPr>
          <w:b/>
        </w:rPr>
        <w:t>NFC/RFID Token Reading</w:t>
      </w:r>
      <w:r>
        <w:t>: Built-in native NFC transceiver chip on guest mobile devices (operating at 13.56 MHz) is utilized to scan customer card badges, offline payment tokens, or local store credits.</w:t>
      </w:r>
    </w:p>
    <w:p>
      <w:pPr>
        <w:pStyle w:val="ListBullet"/>
        <w:spacing w:after="60"/>
        <w:ind w:left="360"/>
      </w:pPr>
      <w:r>
        <w:rPr>
          <w:b/>
        </w:rPr>
        <w:t>Barcode/QR Scanning</w:t>
      </w:r>
      <w:r>
        <w:t>: Integrated mobile camera utilizing an offline web-based or native barcode decoding library (e.g., HTML5-QR-Scanner) to parse inventory barcodes and digital wallet QR screens.</w:t>
      </w:r>
    </w:p>
    <w:p>
      <w:pPr>
        <w:pStyle w:val="ListBullet"/>
        <w:spacing w:after="60"/>
        <w:ind w:left="360"/>
      </w:pPr>
      <w:r>
        <w:rPr>
          <w:b/>
        </w:rPr>
        <w:t>Vault Connectivity Transceiver</w:t>
      </w:r>
      <w:r>
        <w:t>: Native Wi-Fi (802.11n) and/or Bluetooth (RFCOMM/SPP profiles) transceivers to connect directly to the Central Orchestrator's local gateway for local offline database synchronization and checkout execution.</w:t>
      </w:r>
    </w:p>
    <w:p>
      <w:pPr>
        <w:pStyle w:val="Heading4"/>
        <w:spacing w:before="120" w:after="80"/>
      </w:pPr>
      <w:r>
        <w:rPr>
          <w:rFonts w:ascii="Times New Roman" w:hAnsi="Times New Roman"/>
          <w:b/>
          <w:i/>
        </w:rPr>
        <w:t>5. Power &amp; Enclosure Subsystem</w:t>
      </w:r>
    </w:p>
    <w:p>
      <w:pPr>
        <w:pStyle w:val="ListBullet"/>
        <w:spacing w:after="60"/>
        <w:ind w:left="360"/>
      </w:pPr>
      <w:r>
        <w:rPr>
          <w:b/>
        </w:rPr>
        <w:t>Edge Node Power Supply</w:t>
      </w:r>
      <w:r>
        <w:t>: Swappable 18650 Lithium-Ion cells (3.7V nominal, typically 2500mAh capacity) connected to a TP4056 charging and step-up protection module. Power connection is achieved through generic JST-PH 2.0 connectors for simple field swapping.</w:t>
      </w:r>
    </w:p>
    <w:p>
      <w:pPr>
        <w:pStyle w:val="ListBullet"/>
        <w:spacing w:after="60"/>
        <w:ind w:left="360"/>
      </w:pPr>
      <w:r>
        <w:rPr>
          <w:b/>
        </w:rPr>
        <w:t>Physical Protection</w:t>
      </w:r>
      <w:r>
        <w:t>: IP65-rated snap-fit weather-resistant enclosures. These protect the electronics from moisture, high humidity, and airborne dust particles common during the dry season, while incorporating ventilation holes aligned with active fan exhausts for core heat extraction.</w:t>
      </w:r>
    </w:p>
    <w:p>
      <w:pPr>
        <w:spacing w:after="240"/>
        <w:jc w:val="center"/>
      </w:pPr>
      <w:r>
        <w:rPr>
          <w:color w:val="C8C8C8"/>
        </w:rPr>
        <w:t>____________________________________________________</w:t>
      </w:r>
    </w:p>
    <w:p>
      <w:pPr>
        <w:pStyle w:val="Heading3"/>
        <w:spacing w:before="120" w:after="80"/>
      </w:pPr>
      <w:r>
        <w:rPr>
          <w:rFonts w:ascii="Times New Roman" w:hAnsi="Times New Roman"/>
          <w:b/>
        </w:rPr>
        <w:t>3.3.2 Software Requirements</w:t>
      </w:r>
    </w:p>
    <w:p>
      <w:pPr>
        <w:spacing w:after="120" w:line="276" w:lineRule="auto"/>
      </w:pPr>
      <w:r>
        <w:t>The software stack utilizes open-source software libraries, runtimes, and local-first configurations to eliminate external dependencies and data costs.</w:t>
      </w:r>
    </w:p>
    <w:p>
      <w:pPr>
        <w:spacing w:after="120" w:line="276" w:lineRule="auto"/>
      </w:pPr>
      <w:r>
        <w:t>| Software Layer | Component / Technology | Purpose | Operational Location |</w:t>
      </w:r>
    </w:p>
    <w:p>
      <w:pPr>
        <w:spacing w:after="120" w:line="276" w:lineRule="auto"/>
      </w:pPr>
      <w:r>
        <w:t>| :--- | :--- | :--- | :--- |</w:t>
      </w:r>
    </w:p>
    <w:p>
      <w:pPr>
        <w:spacing w:after="120" w:line="276" w:lineRule="auto"/>
      </w:pPr>
      <w:r>
        <w:t xml:space="preserve">| </w:t>
      </w:r>
      <w:r>
        <w:rPr>
          <w:b/>
        </w:rPr>
        <w:t>Operating System</w:t>
      </w:r>
      <w:r>
        <w:t xml:space="preserve"> | Kali Linux (ARM64 headless) | Base operating system for orchestrator | Pi 4 Hub |</w:t>
      </w:r>
    </w:p>
    <w:p>
      <w:pPr>
        <w:spacing w:after="120" w:line="276" w:lineRule="auto"/>
      </w:pPr>
      <w:r>
        <w:t xml:space="preserve">| </w:t>
      </w:r>
      <w:r>
        <w:rPr>
          <w:b/>
        </w:rPr>
        <w:t>Firmware</w:t>
      </w:r>
      <w:r>
        <w:t xml:space="preserve"> | MicroPython (Stable v1.20+) | Script execution runtime for edge nodes | Pico W |</w:t>
      </w:r>
    </w:p>
    <w:p>
      <w:pPr>
        <w:spacing w:after="120" w:line="276" w:lineRule="auto"/>
      </w:pPr>
      <w:r>
        <w:t xml:space="preserve">| </w:t>
      </w:r>
      <w:r>
        <w:rPr>
          <w:b/>
        </w:rPr>
        <w:t>Message Broker</w:t>
      </w:r>
      <w:r>
        <w:t xml:space="preserve"> | Mosquitto MQTT Broker | Lightweight local telemetry routing | Pi 4 Hub |</w:t>
      </w:r>
    </w:p>
    <w:p>
      <w:pPr>
        <w:spacing w:after="120" w:line="276" w:lineRule="auto"/>
      </w:pPr>
      <w:r>
        <w:t xml:space="preserve">| </w:t>
      </w:r>
      <w:r>
        <w:rPr>
          <w:b/>
        </w:rPr>
        <w:t>Telemetry Storage</w:t>
      </w:r>
      <w:r>
        <w:t>| InfluxDB | High-speed time-series data storage | Pi 4 Hub |</w:t>
      </w:r>
    </w:p>
    <w:p>
      <w:pPr>
        <w:spacing w:after="120" w:line="276" w:lineRule="auto"/>
      </w:pPr>
      <w:r>
        <w:t xml:space="preserve">| </w:t>
      </w:r>
      <w:r>
        <w:rPr>
          <w:b/>
        </w:rPr>
        <w:t>Visualization</w:t>
      </w:r>
      <w:r>
        <w:t xml:space="preserve"> | Grafana | Local analytical telemetry dashboard | Pi 4 Hub |</w:t>
      </w:r>
    </w:p>
    <w:p>
      <w:pPr>
        <w:spacing w:after="120" w:line="276" w:lineRule="auto"/>
      </w:pPr>
      <w:r>
        <w:t xml:space="preserve">| </w:t>
      </w:r>
      <w:r>
        <w:rPr>
          <w:b/>
        </w:rPr>
        <w:t>Machine Learning</w:t>
      </w:r>
      <w:r>
        <w:t>| TensorFlow Lite Runtime | Local irrigation/watering requirement inference | Pi 4 Hub |</w:t>
      </w:r>
    </w:p>
    <w:p>
      <w:pPr>
        <w:spacing w:after="120" w:line="276" w:lineRule="auto"/>
      </w:pPr>
      <w:r>
        <w:t xml:space="preserve">| </w:t>
      </w:r>
      <w:r>
        <w:rPr>
          <w:b/>
        </w:rPr>
        <w:t>Transaction Storage</w:t>
      </w:r>
      <w:r>
        <w:t>| SQLite | Resilient, local transaction ledger | Pi 4 Hub |</w:t>
      </w:r>
    </w:p>
    <w:p>
      <w:pPr>
        <w:spacing w:after="120" w:line="276" w:lineRule="auto"/>
      </w:pPr>
      <w:r>
        <w:t xml:space="preserve">| </w:t>
      </w:r>
      <w:r>
        <w:rPr>
          <w:b/>
        </w:rPr>
        <w:t>Web-POS Client</w:t>
      </w:r>
      <w:r>
        <w:t xml:space="preserve"> | HTML5 / Vanilla JS | Client interface for scanning QR/NFC transactions | Mobile Device |</w:t>
      </w:r>
    </w:p>
    <w:p>
      <w:pPr>
        <w:spacing w:after="120" w:line="276" w:lineRule="auto"/>
      </w:pPr>
      <w:r>
        <w:t xml:space="preserve">| </w:t>
      </w:r>
      <w:r>
        <w:rPr>
          <w:b/>
        </w:rPr>
        <w:t>POS Service Daemon</w:t>
      </w:r>
      <w:r>
        <w:t xml:space="preserve"> | Python SocketServer / PyBluez | Processes socket/RFCOMM checkout requests | Pi 4 Hub |</w:t>
      </w:r>
    </w:p>
    <w:p>
      <w:pPr>
        <w:spacing w:after="120" w:line="276" w:lineRule="auto"/>
      </w:pPr>
      <w:r>
        <w:t xml:space="preserve">| </w:t>
      </w:r>
      <w:r>
        <w:rPr>
          <w:b/>
        </w:rPr>
        <w:t>CAD &amp; Modeling</w:t>
      </w:r>
      <w:r>
        <w:t xml:space="preserve"> | FreeCAD &amp; KiCAD | Enclosure and PCB design toolchain | Workstation |</w:t>
      </w:r>
    </w:p>
    <w:p>
      <w:pPr>
        <w:pStyle w:val="Heading4"/>
        <w:spacing w:before="120" w:after="80"/>
      </w:pPr>
      <w:r>
        <w:rPr>
          <w:rFonts w:ascii="Times New Roman" w:hAnsi="Times New Roman"/>
          <w:b/>
          <w:i/>
        </w:rPr>
        <w:t>1. Operating Systems &amp; System Firmware</w:t>
      </w:r>
    </w:p>
    <w:p>
      <w:pPr>
        <w:pStyle w:val="ListBullet"/>
        <w:spacing w:after="60"/>
        <w:ind w:left="360"/>
      </w:pPr>
      <w:r>
        <w:rPr>
          <w:b/>
        </w:rPr>
        <w:t>Orchestrator Platform</w:t>
      </w:r>
      <w:r>
        <w:t>: Kali Linux (ARM64 headless, Debian-based core). The headless minimal version of Kali Linux is mandatory to conserve CPU cycles and system memory, reserving maximum resources for the system services and the TensorFlow Lite inference engine.</w:t>
      </w:r>
    </w:p>
    <w:p>
      <w:pPr>
        <w:pStyle w:val="ListBullet"/>
        <w:spacing w:after="60"/>
        <w:ind w:left="360"/>
      </w:pPr>
      <w:r>
        <w:rPr>
          <w:b/>
        </w:rPr>
        <w:t>Edge Platform</w:t>
      </w:r>
      <w:r>
        <w:t>: MicroPython firmware (v1.20 or later). The runtime is selected for its high execution speed, low memory footprint (optimized for the RP2040's 264KB SRAM), and rapid prototyping capabilities. Custom MicroPython builds are configured with flash encryption flags active to protect edge intelligence files.</w:t>
      </w:r>
    </w:p>
    <w:p>
      <w:pPr>
        <w:pStyle w:val="Heading4"/>
        <w:spacing w:before="120" w:after="80"/>
      </w:pPr>
      <w:r>
        <w:rPr>
          <w:rFonts w:ascii="Times New Roman" w:hAnsi="Times New Roman"/>
          <w:b/>
          <w:i/>
        </w:rPr>
        <w:t>2. Communication Protocols &amp; Middleware</w:t>
      </w:r>
    </w:p>
    <w:p>
      <w:pPr>
        <w:pStyle w:val="ListBullet"/>
        <w:spacing w:after="60"/>
        <w:ind w:left="360"/>
      </w:pPr>
      <w:r>
        <w:rPr>
          <w:b/>
        </w:rPr>
        <w:t>Local Network Gateway</w:t>
      </w:r>
      <w:r>
        <w:t>: Hostapd and Dnsmasq configured on the Raspberry Pi 4 to project a local Wi-Fi Access Point (AP). This local mesh network operates completely offline, allowing nearby smartphones, laptops, and Pico W units to obtain IP addresses and communicate without requiring an active internet connection. Additionally, a Bluetooth RFCOMM server socket daemon runs on the Raspberry Pi 4 to accept offline connection requests and POS payload transactions from guest mobile devices.</w:t>
      </w:r>
    </w:p>
    <w:p>
      <w:pPr>
        <w:pStyle w:val="ListBullet"/>
        <w:spacing w:after="60"/>
        <w:ind w:left="360"/>
      </w:pPr>
      <w:r>
        <w:rPr>
          <w:b/>
        </w:rPr>
        <w:t>Message Passing</w:t>
      </w:r>
      <w:r>
        <w:t xml:space="preserve">: Mosquitto MQTT Broker. This lightweight broker handles telemetry routing from edge sensors to the storage systems. Pico W edge nodes utilize the </w:t>
      </w:r>
      <w:r>
        <w:rPr>
          <w:rFonts w:ascii="Consolas" w:hAnsi="Consolas"/>
          <w:color w:val="B42828"/>
          <w:sz w:val="19"/>
        </w:rPr>
        <w:t>umqtt.simple</w:t>
      </w:r>
      <w:r>
        <w:t xml:space="preserve"> MicroPython package to publish payload metrics under specific telemetry topics.</w:t>
      </w:r>
    </w:p>
    <w:p>
      <w:pPr>
        <w:pStyle w:val="Heading4"/>
        <w:spacing w:before="120" w:after="80"/>
      </w:pPr>
      <w:r>
        <w:rPr>
          <w:rFonts w:ascii="Times New Roman" w:hAnsi="Times New Roman"/>
          <w:b/>
          <w:i/>
        </w:rPr>
        <w:t>3. Time-Series Data Storage &amp; Analytics Dashboard</w:t>
      </w:r>
    </w:p>
    <w:p>
      <w:pPr>
        <w:pStyle w:val="ListBullet"/>
        <w:spacing w:after="60"/>
        <w:ind w:left="360"/>
      </w:pPr>
      <w:r>
        <w:rPr>
          <w:b/>
        </w:rPr>
        <w:t>Local Database</w:t>
      </w:r>
      <w:r>
        <w:t>: InfluxDB (v2.x). A specialized time-series database configured on the Raspberry Pi 4 to record incoming sensor values (pH, soil moisture, temperature) from the Agri-Analytics system.</w:t>
      </w:r>
    </w:p>
    <w:p>
      <w:pPr>
        <w:pStyle w:val="ListBullet"/>
        <w:spacing w:after="60"/>
        <w:ind w:left="360"/>
      </w:pPr>
      <w:r>
        <w:rPr>
          <w:b/>
        </w:rPr>
        <w:t>Local UI Dashboard</w:t>
      </w:r>
      <w:r>
        <w:t>: Grafana (v9.x or later). Hosted locally on the Pi 4, Grafana connects directly to the local InfluxDB instance, serving interactive dashboards that are projected via the portable projector for community training and resource planning sessions.</w:t>
      </w:r>
    </w:p>
    <w:p>
      <w:pPr>
        <w:pStyle w:val="Heading4"/>
        <w:spacing w:before="120" w:after="80"/>
      </w:pPr>
      <w:r>
        <w:rPr>
          <w:rFonts w:ascii="Times New Roman" w:hAnsi="Times New Roman"/>
          <w:b/>
          <w:i/>
        </w:rPr>
        <w:t>4. Application Logic and Machine Learning Frameworks</w:t>
      </w:r>
    </w:p>
    <w:p>
      <w:pPr>
        <w:pStyle w:val="ListBullet"/>
        <w:spacing w:after="60"/>
        <w:ind w:left="360"/>
      </w:pPr>
      <w:r>
        <w:rPr>
          <w:b/>
        </w:rPr>
        <w:t>Edge-Alert Security Gateway Core</w:t>
      </w:r>
      <w:r>
        <w:t>: A custom Python event-handler script. Instead of running complex computer vision libraries, the orchestrator script on the Pi 4 listens for sensor-trigger MQTT messages from the Pico W nodes. Upon receiving a trigger, the script logs the intrusion event to a local database and dispatches immediate state-change alerts across the local network to notify administrators.</w:t>
      </w:r>
    </w:p>
    <w:p>
      <w:pPr>
        <w:pStyle w:val="ListBullet"/>
        <w:spacing w:after="60"/>
        <w:ind w:left="360"/>
      </w:pPr>
      <w:r>
        <w:rPr>
          <w:b/>
        </w:rPr>
        <w:t>Agri-Analytics Inference</w:t>
      </w:r>
      <w:r>
        <w:t>: TensorFlow Lite (TF Lite) Interpreter runtime. The model is built using TensorFlow and converted to a quantized flatbuffer format (</w:t>
      </w:r>
      <w:r>
        <w:rPr>
          <w:rFonts w:ascii="Consolas" w:hAnsi="Consolas"/>
          <w:color w:val="B42828"/>
          <w:sz w:val="19"/>
        </w:rPr>
        <w:t>.tflite</w:t>
      </w:r>
      <w:r>
        <w:t>) to execute low-latency predictive analysis on localized soil moisture and watering requirements using the Pi 4 CPU cores without network overhead.</w:t>
      </w:r>
    </w:p>
    <w:p>
      <w:pPr>
        <w:pStyle w:val="ListBullet"/>
        <w:spacing w:after="60"/>
        <w:ind w:left="360"/>
      </w:pPr>
      <w:r>
        <w:rPr>
          <w:b/>
        </w:rPr>
        <w:t>Mesh-POS Transaction Ledger</w:t>
      </w:r>
      <w:r>
        <w:t>: SQLite database engine embedded within a Python-based server. The server exposes a WebSocket and local TCP/RFCOMM socket API to process incoming checkout transactions from guest mobile devices. SQLite's local-first transactional integrity (ACID compliance) guarantees that sales records, inventory shifts, and client-scanned NFC token records are safely written to the MicroSD card, prepared for mesh synchronization once connected to adjacent shop hubs.</w:t>
      </w:r>
    </w:p>
    <w:p>
      <w:pPr>
        <w:pStyle w:val="Heading4"/>
        <w:spacing w:before="120" w:after="80"/>
      </w:pPr>
      <w:r>
        <w:rPr>
          <w:rFonts w:ascii="Times New Roman" w:hAnsi="Times New Roman"/>
          <w:b/>
          <w:i/>
        </w:rPr>
        <w:t>5. Engineering &amp; Simulation Workstation Software</w:t>
      </w:r>
    </w:p>
    <w:p>
      <w:pPr>
        <w:pStyle w:val="ListBullet"/>
        <w:spacing w:after="60"/>
        <w:ind w:left="360"/>
      </w:pPr>
      <w:r>
        <w:rPr>
          <w:b/>
        </w:rPr>
        <w:t>FreeCAD (v0.20+)</w:t>
      </w:r>
      <w:r>
        <w:t>: Parameterized 3D CAD modeling software used to design custom, snap-fit weatherproof enclosures for the Pico W units and the central Raspberry Pi 4.</w:t>
      </w:r>
    </w:p>
    <w:p>
      <w:pPr>
        <w:pStyle w:val="ListBullet"/>
        <w:spacing w:after="60"/>
        <w:ind w:left="360"/>
      </w:pPr>
      <w:r>
        <w:rPr>
          <w:b/>
        </w:rPr>
        <w:t>KiCAD (v7.0+)</w:t>
      </w:r>
      <w:r>
        <w:t>: Open-source schematic capture and PCB layout editor used to design custom hardware shields, routing I/O from the Pico W directly to the swappable sensor and interface module connections.</w:t>
      </w:r>
    </w:p>
    <w:p>
      <w:pPr>
        <w:pStyle w:val="ListBullet"/>
        <w:spacing w:after="60"/>
        <w:ind w:left="360"/>
      </w:pPr>
      <w:r>
        <w:rPr>
          <w:b/>
        </w:rPr>
        <w:t>Blender (v3.6+)</w:t>
      </w:r>
      <w:r>
        <w:t>: 3D computer graphics software used for modeling spatial distributions and simulating sensor coverage fields of the Edge-Alert Security Gateway in rural and farm settings.</w:t>
      </w:r>
    </w:p>
    <w:p>
      <w:pPr>
        <w:pStyle w:val="ListBullet"/>
        <w:spacing w:after="60"/>
        <w:ind w:left="360"/>
      </w:pPr>
      <w:r>
        <w:rPr>
          <w:b/>
        </w:rPr>
        <w:t>Inkscape (v1.2+)</w:t>
      </w:r>
      <w:r>
        <w:t>: Vector graphics software used to construct vector-based architectural maps and low-level circuit schematics.</w:t>
      </w:r>
    </w:p>
    <w:p>
      <w:pPr>
        <w:pStyle w:val="ListBullet"/>
        <w:spacing w:after="60"/>
        <w:ind w:left="360"/>
      </w:pPr>
      <w:r>
        <w:rPr>
          <w:b/>
        </w:rPr>
        <w:t>IDE Tools</w:t>
      </w:r>
      <w:r>
        <w:t>: VS Code (configured with MicroPico extension) and Thonny IDE for edge firmware script uploading and hardware debugging.</w:t>
      </w:r>
    </w:p>
    <w:p>
      <w:pPr>
        <w:pStyle w:val="Heading2"/>
        <w:spacing w:before="240" w:after="120"/>
      </w:pPr>
      <w:r>
        <w:rPr>
          <w:rFonts w:ascii="Times New Roman" w:hAnsi="Times New Roman"/>
          <w:b/>
        </w:rPr>
        <w:t>3.4 System Design</w:t>
      </w:r>
    </w:p>
    <w:p>
      <w:pPr>
        <w:spacing w:after="120" w:line="276" w:lineRule="auto"/>
      </w:pPr>
      <w:r>
        <w:t>To map the physical components, electrical interfaces, and logic pathways of the Modular Adaptive Data Node (MADN), this section presents the detailed system design of the prototype. The architecture is structured to support local-first data processing, offline network resiliency, and cost-efficient hardware scaling. The system design is divided into three parts: the structural block diagram, the embedded hardware pin schematic, and the operational logic flowcharts governing telemetry, security, and transaction processing.</w:t>
      </w:r>
    </w:p>
    <w:p>
      <w:pPr>
        <w:spacing w:after="240"/>
        <w:jc w:val="center"/>
      </w:pPr>
      <w:r>
        <w:rPr>
          <w:color w:val="C8C8C8"/>
        </w:rPr>
        <w:t>____________________________________________________</w:t>
      </w:r>
    </w:p>
    <w:p>
      <w:pPr>
        <w:pStyle w:val="Heading3"/>
        <w:spacing w:before="120" w:after="80"/>
      </w:pPr>
      <w:r>
        <w:rPr>
          <w:rFonts w:ascii="Times New Roman" w:hAnsi="Times New Roman"/>
          <w:b/>
        </w:rPr>
        <w:t>3.4.1 Architectural Block Diagram</w:t>
      </w:r>
    </w:p>
    <w:p>
      <w:pPr>
        <w:spacing w:after="120" w:line="276" w:lineRule="auto"/>
      </w:pPr>
      <w:r>
        <w:t>The architectural block diagram delineates the system boundaries, runtime environments, and communication interfaces between the three primary tiers: the Central Orchestration Tier (The Vault), the Edge Sensing and Processing Tier (Intelligent Core), and the Mobile Point-of-Sale (POS) Client Tier.</w:t>
      </w:r>
    </w:p>
    <w:p>
      <w:pPr>
        <w:spacing w:after="120" w:line="276" w:lineRule="auto"/>
      </w:pPr>
      <w:r>
        <w:t>The central orchestrator runs Kali Linux (ARM64 headless) on a Raspberry Pi 4, hosting a Mosquitto MQTT broker, InfluxDB for time-series telemetry storage, and an SQLite database for transaction ledgers. Guest mobile devices connect to this hub through a localized Wi-Fi Access Point (via hostapd/dnsmasq) or a Bluetooth RFCOMM socket daemon, bypassing the need for cloud-based routing.</w:t>
      </w:r>
    </w:p>
    <w:p>
      <w:pPr>
        <w:spacing w:after="0"/>
        <w:ind w:left="720"/>
      </w:pPr>
      <w:r>
        <w:rPr>
          <w:rFonts w:ascii="Consolas" w:hAnsi="Consolas"/>
          <w:color w:val="505050"/>
          <w:sz w:val="18"/>
        </w:rPr>
        <w:t>flowchart TB</w:t>
        <w:br/>
      </w:r>
    </w:p>
    <w:p>
      <w:pPr>
        <w:spacing w:after="0"/>
        <w:ind w:left="720"/>
      </w:pPr>
      <w:r>
        <w:rPr>
          <w:rFonts w:ascii="Consolas" w:hAnsi="Consolas"/>
          <w:color w:val="505050"/>
          <w:sz w:val="18"/>
        </w:rPr>
        <w:t xml:space="preserve">    %% Styling Classes</w:t>
        <w:br/>
      </w:r>
    </w:p>
    <w:p>
      <w:pPr>
        <w:spacing w:after="0"/>
        <w:ind w:left="720"/>
      </w:pPr>
      <w:r>
        <w:rPr>
          <w:rFonts w:ascii="Consolas" w:hAnsi="Consolas"/>
          <w:color w:val="505050"/>
          <w:sz w:val="18"/>
        </w:rPr>
        <w:t xml:space="preserve">    classDef hubStyle fill:#1a365d,stroke:#3182ce,stroke-width:2px,color:#fff;</w:t>
        <w:br/>
      </w:r>
    </w:p>
    <w:p>
      <w:pPr>
        <w:spacing w:after="0"/>
        <w:ind w:left="720"/>
      </w:pPr>
      <w:r>
        <w:rPr>
          <w:rFonts w:ascii="Consolas" w:hAnsi="Consolas"/>
          <w:color w:val="505050"/>
          <w:sz w:val="18"/>
        </w:rPr>
        <w:t xml:space="preserve">    classDef edgeStyle fill:#2d3748,stroke:#718096,stroke-width:2px,color:#fff;</w:t>
        <w:br/>
      </w:r>
    </w:p>
    <w:p>
      <w:pPr>
        <w:spacing w:after="0"/>
        <w:ind w:left="720"/>
      </w:pPr>
      <w:r>
        <w:rPr>
          <w:rFonts w:ascii="Consolas" w:hAnsi="Consolas"/>
          <w:color w:val="505050"/>
          <w:sz w:val="18"/>
        </w:rPr>
        <w:t xml:space="preserve">    classDef clientStyle fill:#2c5282,stroke:#4299e1,stroke-width:2px,color:#fff;</w:t>
        <w:br/>
      </w:r>
    </w:p>
    <w:p>
      <w:pPr>
        <w:spacing w:after="0"/>
        <w:ind w:left="720"/>
      </w:pPr>
      <w:r>
        <w:rPr>
          <w:rFonts w:ascii="Consolas" w:hAnsi="Consolas"/>
          <w:color w:val="505050"/>
          <w:sz w:val="18"/>
        </w:rPr>
        <w:t xml:space="preserve">    classDef protocolStyle fill:#234e52,stroke:#319795,stroke-width:1px,color:#fff;</w:t>
        <w:br/>
      </w:r>
    </w:p>
    <w:p>
      <w:pPr>
        <w:spacing w:after="0"/>
        <w:ind w:left="720"/>
      </w:pPr>
      <w:r>
        <w:rPr>
          <w:rFonts w:ascii="Consolas" w:hAnsi="Consolas"/>
          <w:color w:val="505050"/>
          <w:sz w:val="18"/>
        </w:rPr>
        <w:t xml:space="preserve">    subgraph Hub ["Central Vault Orchestration Node (Pi 4 - Kali Linux)"]</w:t>
        <w:br/>
      </w:r>
    </w:p>
    <w:p>
      <w:pPr>
        <w:spacing w:after="0"/>
        <w:ind w:left="720"/>
      </w:pPr>
      <w:r>
        <w:rPr>
          <w:rFonts w:ascii="Consolas" w:hAnsi="Consolas"/>
          <w:color w:val="505050"/>
          <w:sz w:val="18"/>
        </w:rPr>
        <w:t xml:space="preserve">        OS["Kali Linux (ARM64 Headless)"]:::hubStyle</w:t>
        <w:br/>
      </w:r>
    </w:p>
    <w:p>
      <w:pPr>
        <w:spacing w:after="0"/>
        <w:ind w:left="720"/>
      </w:pPr>
      <w:r>
        <w:rPr>
          <w:rFonts w:ascii="Consolas" w:hAnsi="Consolas"/>
          <w:color w:val="505050"/>
          <w:sz w:val="18"/>
        </w:rPr>
        <w:t xml:space="preserve">        AP["Hostapd Wi-Fi Access Point"]:::protocolStyle</w:t>
        <w:br/>
      </w:r>
    </w:p>
    <w:p>
      <w:pPr>
        <w:spacing w:after="0"/>
        <w:ind w:left="720"/>
      </w:pPr>
      <w:r>
        <w:rPr>
          <w:rFonts w:ascii="Consolas" w:hAnsi="Consolas"/>
          <w:color w:val="505050"/>
          <w:sz w:val="18"/>
        </w:rPr>
        <w:t xml:space="preserve">        BT["Bluetooth RFCOMM Daemon"]:::protocolStyle</w:t>
        <w:br/>
      </w:r>
    </w:p>
    <w:p>
      <w:pPr>
        <w:spacing w:after="0"/>
        <w:ind w:left="720"/>
      </w:pPr>
      <w:r>
        <w:rPr>
          <w:rFonts w:ascii="Consolas" w:hAnsi="Consolas"/>
          <w:color w:val="505050"/>
          <w:sz w:val="18"/>
        </w:rPr>
        <w:t xml:space="preserve">        MQTT["Mosquitto MQTT Broker"]:::protocolStyle</w:t>
        <w:br/>
      </w:r>
    </w:p>
    <w:p>
      <w:pPr>
        <w:spacing w:after="0"/>
        <w:ind w:left="720"/>
      </w:pPr>
      <w:r>
        <w:rPr>
          <w:rFonts w:ascii="Consolas" w:hAnsi="Consolas"/>
          <w:color w:val="505050"/>
          <w:sz w:val="18"/>
        </w:rPr>
        <w:t xml:space="preserve">        DB_Telemetry[("InfluxDB Time-Series")]:::hubStyle</w:t>
        <w:br/>
      </w:r>
    </w:p>
    <w:p>
      <w:pPr>
        <w:spacing w:after="0"/>
        <w:ind w:left="720"/>
      </w:pPr>
      <w:r>
        <w:rPr>
          <w:rFonts w:ascii="Consolas" w:hAnsi="Consolas"/>
          <w:color w:val="505050"/>
          <w:sz w:val="18"/>
        </w:rPr>
        <w:t xml:space="preserve">        DB_Ledger[("SQLite Transactions")]:::hubStyle</w:t>
        <w:br/>
      </w:r>
    </w:p>
    <w:p>
      <w:pPr>
        <w:spacing w:after="0"/>
        <w:ind w:left="720"/>
      </w:pPr>
      <w:r>
        <w:rPr>
          <w:rFonts w:ascii="Consolas" w:hAnsi="Consolas"/>
          <w:color w:val="505050"/>
          <w:sz w:val="18"/>
        </w:rPr>
        <w:t xml:space="preserve">        Logic_Scheduler["Dynamic Resource Scheduler"]:::hubStyle</w:t>
        <w:br/>
      </w:r>
    </w:p>
    <w:p>
      <w:pPr>
        <w:spacing w:after="0"/>
        <w:ind w:left="720"/>
      </w:pPr>
      <w:r>
        <w:rPr>
          <w:rFonts w:ascii="Consolas" w:hAnsi="Consolas"/>
          <w:color w:val="505050"/>
          <w:sz w:val="18"/>
        </w:rPr>
        <w:t xml:space="preserve">        Logic_POS["Python POS Daemon"]:::hubStyle</w:t>
        <w:br/>
      </w:r>
    </w:p>
    <w:p>
      <w:pPr>
        <w:spacing w:after="0"/>
        <w:ind w:left="720"/>
      </w:pPr>
      <w:r>
        <w:rPr>
          <w:rFonts w:ascii="Consolas" w:hAnsi="Consolas"/>
          <w:color w:val="505050"/>
          <w:sz w:val="18"/>
        </w:rPr>
        <w:t xml:space="preserve">        Logic_Security["Security Alert Daemon"]:::hubStyle</w:t>
        <w:br/>
      </w:r>
    </w:p>
    <w:p>
      <w:pPr>
        <w:spacing w:after="0"/>
        <w:ind w:left="720"/>
      </w:pPr>
      <w:r>
        <w:rPr>
          <w:rFonts w:ascii="Consolas" w:hAnsi="Consolas"/>
          <w:color w:val="505050"/>
          <w:sz w:val="18"/>
        </w:rPr>
        <w:t xml:space="preserve">        ML_Model["TensorFlow Lite Inference"]:::hubStyle</w:t>
        <w:br/>
      </w:r>
    </w:p>
    <w:p>
      <w:pPr>
        <w:spacing w:after="0"/>
        <w:ind w:left="720"/>
      </w:pPr>
      <w:r>
        <w:rPr>
          <w:rFonts w:ascii="Consolas" w:hAnsi="Consolas"/>
          <w:color w:val="505050"/>
          <w:sz w:val="18"/>
        </w:rPr>
        <w:t xml:space="preserve">        OS --- AP</w:t>
        <w:br/>
      </w:r>
    </w:p>
    <w:p>
      <w:pPr>
        <w:spacing w:after="0"/>
        <w:ind w:left="720"/>
      </w:pPr>
      <w:r>
        <w:rPr>
          <w:rFonts w:ascii="Consolas" w:hAnsi="Consolas"/>
          <w:color w:val="505050"/>
          <w:sz w:val="18"/>
        </w:rPr>
        <w:t xml:space="preserve">        OS --- BT</w:t>
        <w:br/>
      </w:r>
    </w:p>
    <w:p>
      <w:pPr>
        <w:spacing w:after="0"/>
        <w:ind w:left="720"/>
      </w:pPr>
      <w:r>
        <w:rPr>
          <w:rFonts w:ascii="Consolas" w:hAnsi="Consolas"/>
          <w:color w:val="505050"/>
          <w:sz w:val="18"/>
        </w:rPr>
        <w:t xml:space="preserve">        OS --- MQTT</w:t>
        <w:br/>
      </w:r>
    </w:p>
    <w:p>
      <w:pPr>
        <w:spacing w:after="0"/>
        <w:ind w:left="720"/>
      </w:pPr>
      <w:r>
        <w:rPr>
          <w:rFonts w:ascii="Consolas" w:hAnsi="Consolas"/>
          <w:color w:val="505050"/>
          <w:sz w:val="18"/>
        </w:rPr>
        <w:t xml:space="preserve">        MQTT --- DB_Telemetry</w:t>
        <w:br/>
      </w:r>
    </w:p>
    <w:p>
      <w:pPr>
        <w:spacing w:after="0"/>
        <w:ind w:left="720"/>
      </w:pPr>
      <w:r>
        <w:rPr>
          <w:rFonts w:ascii="Consolas" w:hAnsi="Consolas"/>
          <w:color w:val="505050"/>
          <w:sz w:val="18"/>
        </w:rPr>
        <w:t xml:space="preserve">        Logic_Scheduler --- DB_Telemetry</w:t>
        <w:br/>
      </w:r>
    </w:p>
    <w:p>
      <w:pPr>
        <w:spacing w:after="0"/>
        <w:ind w:left="720"/>
      </w:pPr>
      <w:r>
        <w:rPr>
          <w:rFonts w:ascii="Consolas" w:hAnsi="Consolas"/>
          <w:color w:val="505050"/>
          <w:sz w:val="18"/>
        </w:rPr>
        <w:t xml:space="preserve">        Logic_POS --- DB_Ledger</w:t>
        <w:br/>
      </w:r>
    </w:p>
    <w:p>
      <w:pPr>
        <w:spacing w:after="0"/>
        <w:ind w:left="720"/>
      </w:pPr>
      <w:r>
        <w:rPr>
          <w:rFonts w:ascii="Consolas" w:hAnsi="Consolas"/>
          <w:color w:val="505050"/>
          <w:sz w:val="18"/>
        </w:rPr>
        <w:t xml:space="preserve">        Logic_Security --- DB_Ledger</w:t>
        <w:br/>
      </w:r>
    </w:p>
    <w:p>
      <w:pPr>
        <w:spacing w:after="0"/>
        <w:ind w:left="720"/>
      </w:pPr>
      <w:r>
        <w:rPr>
          <w:rFonts w:ascii="Consolas" w:hAnsi="Consolas"/>
          <w:color w:val="505050"/>
          <w:sz w:val="18"/>
        </w:rPr>
        <w:t xml:space="preserve">        ML_Model --- DB_Telemetry</w:t>
        <w:br/>
      </w:r>
    </w:p>
    <w:p>
      <w:pPr>
        <w:spacing w:after="0"/>
        <w:ind w:left="720"/>
      </w:pPr>
      <w:r>
        <w:rPr>
          <w:rFonts w:ascii="Consolas" w:hAnsi="Consolas"/>
          <w:color w:val="505050"/>
          <w:sz w:val="18"/>
        </w:rPr>
        <w:t xml:space="preserve">    end</w:t>
        <w:br/>
      </w:r>
    </w:p>
    <w:p>
      <w:pPr>
        <w:spacing w:after="0"/>
        <w:ind w:left="720"/>
      </w:pPr>
      <w:r>
        <w:rPr>
          <w:rFonts w:ascii="Consolas" w:hAnsi="Consolas"/>
          <w:color w:val="505050"/>
          <w:sz w:val="18"/>
        </w:rPr>
        <w:t xml:space="preserve">    subgraph EdgeNode ["Edge Sensing Core (Pi Pico W)"]</w:t>
        <w:br/>
      </w:r>
    </w:p>
    <w:p>
      <w:pPr>
        <w:spacing w:after="0"/>
        <w:ind w:left="720"/>
      </w:pPr>
      <w:r>
        <w:rPr>
          <w:rFonts w:ascii="Consolas" w:hAnsi="Consolas"/>
          <w:color w:val="505050"/>
          <w:sz w:val="18"/>
        </w:rPr>
        <w:t xml:space="preserve">        Firmware["MicroPython Runtime"]:::edgeStyle</w:t>
        <w:br/>
      </w:r>
    </w:p>
    <w:p>
      <w:pPr>
        <w:spacing w:after="0"/>
        <w:ind w:left="720"/>
      </w:pPr>
      <w:r>
        <w:rPr>
          <w:rFonts w:ascii="Consolas" w:hAnsi="Consolas"/>
          <w:color w:val="505050"/>
          <w:sz w:val="18"/>
        </w:rPr>
        <w:t xml:space="preserve">        MQTT_Client["umqtt.simple Client"]:::protocolStyle</w:t>
        <w:br/>
      </w:r>
    </w:p>
    <w:p>
      <w:pPr>
        <w:spacing w:after="0"/>
        <w:ind w:left="720"/>
      </w:pPr>
      <w:r>
        <w:rPr>
          <w:rFonts w:ascii="Consolas" w:hAnsi="Consolas"/>
          <w:color w:val="505050"/>
          <w:sz w:val="18"/>
        </w:rPr>
        <w:t xml:space="preserve">        Pin_Interface["GPIO / ADC / SPI Physical Bus"]:::edgeStyle</w:t>
        <w:br/>
      </w:r>
    </w:p>
    <w:p>
      <w:pPr>
        <w:spacing w:after="0"/>
        <w:ind w:left="720"/>
      </w:pPr>
      <w:r>
        <w:rPr>
          <w:rFonts w:ascii="Consolas" w:hAnsi="Consolas"/>
          <w:color w:val="505050"/>
          <w:sz w:val="18"/>
        </w:rPr>
        <w:t xml:space="preserve">        Firmware --- MQTT_Client</w:t>
        <w:br/>
      </w:r>
    </w:p>
    <w:p>
      <w:pPr>
        <w:spacing w:after="0"/>
        <w:ind w:left="720"/>
      </w:pPr>
      <w:r>
        <w:rPr>
          <w:rFonts w:ascii="Consolas" w:hAnsi="Consolas"/>
          <w:color w:val="505050"/>
          <w:sz w:val="18"/>
        </w:rPr>
        <w:t xml:space="preserve">        Firmware --- Pin_Interface</w:t>
        <w:br/>
      </w:r>
    </w:p>
    <w:p>
      <w:pPr>
        <w:spacing w:after="0"/>
        <w:ind w:left="720"/>
      </w:pPr>
      <w:r>
        <w:rPr>
          <w:rFonts w:ascii="Consolas" w:hAnsi="Consolas"/>
          <w:color w:val="505050"/>
          <w:sz w:val="18"/>
        </w:rPr>
        <w:t xml:space="preserve">    end</w:t>
        <w:br/>
      </w:r>
    </w:p>
    <w:p>
      <w:pPr>
        <w:spacing w:after="0"/>
        <w:ind w:left="720"/>
      </w:pPr>
      <w:r>
        <w:rPr>
          <w:rFonts w:ascii="Consolas" w:hAnsi="Consolas"/>
          <w:color w:val="505050"/>
          <w:sz w:val="18"/>
        </w:rPr>
        <w:t xml:space="preserve">    subgraph MobilePOS ["Mobile POS Client Terminal"]</w:t>
        <w:br/>
      </w:r>
    </w:p>
    <w:p>
      <w:pPr>
        <w:spacing w:after="0"/>
        <w:ind w:left="720"/>
      </w:pPr>
      <w:r>
        <w:rPr>
          <w:rFonts w:ascii="Consolas" w:hAnsi="Consolas"/>
          <w:color w:val="505050"/>
          <w:sz w:val="18"/>
        </w:rPr>
        <w:t xml:space="preserve">        Browser["Merchant Browser (HTML5 / Vanilla JS)"]:::clientStyle</w:t>
        <w:br/>
      </w:r>
    </w:p>
    <w:p>
      <w:pPr>
        <w:spacing w:after="0"/>
        <w:ind w:left="720"/>
      </w:pPr>
      <w:r>
        <w:rPr>
          <w:rFonts w:ascii="Consolas" w:hAnsi="Consolas"/>
          <w:color w:val="505050"/>
          <w:sz w:val="18"/>
        </w:rPr>
        <w:t xml:space="preserve">        NFC["Built-in NFC Chip (Card/Token Scan)"]:::clientStyle</w:t>
        <w:br/>
      </w:r>
    </w:p>
    <w:p>
      <w:pPr>
        <w:spacing w:after="0"/>
        <w:ind w:left="720"/>
      </w:pPr>
      <w:r>
        <w:rPr>
          <w:rFonts w:ascii="Consolas" w:hAnsi="Consolas"/>
          <w:color w:val="505050"/>
          <w:sz w:val="18"/>
        </w:rPr>
        <w:t xml:space="preserve">        Camera["Built-in Camera (QR/Barcode Scan)"]:::clientStyle</w:t>
        <w:br/>
      </w:r>
    </w:p>
    <w:p>
      <w:pPr>
        <w:spacing w:after="0"/>
        <w:ind w:left="720"/>
      </w:pPr>
      <w:r>
        <w:rPr>
          <w:rFonts w:ascii="Consolas" w:hAnsi="Consolas"/>
          <w:color w:val="505050"/>
          <w:sz w:val="18"/>
        </w:rPr>
        <w:t xml:space="preserve">        Browser --- NFC</w:t>
        <w:br/>
      </w:r>
    </w:p>
    <w:p>
      <w:pPr>
        <w:spacing w:after="0"/>
        <w:ind w:left="720"/>
      </w:pPr>
      <w:r>
        <w:rPr>
          <w:rFonts w:ascii="Consolas" w:hAnsi="Consolas"/>
          <w:color w:val="505050"/>
          <w:sz w:val="18"/>
        </w:rPr>
        <w:t xml:space="preserve">        Browser --- Camera</w:t>
        <w:br/>
      </w:r>
    </w:p>
    <w:p>
      <w:pPr>
        <w:spacing w:after="0"/>
        <w:ind w:left="720"/>
      </w:pPr>
      <w:r>
        <w:rPr>
          <w:rFonts w:ascii="Consolas" w:hAnsi="Consolas"/>
          <w:color w:val="505050"/>
          <w:sz w:val="18"/>
        </w:rPr>
        <w:t xml:space="preserve">    end</w:t>
        <w:br/>
      </w:r>
    </w:p>
    <w:p>
      <w:pPr>
        <w:spacing w:after="0"/>
        <w:ind w:left="720"/>
      </w:pPr>
      <w:r>
        <w:rPr>
          <w:rFonts w:ascii="Consolas" w:hAnsi="Consolas"/>
          <w:color w:val="505050"/>
          <w:sz w:val="18"/>
        </w:rPr>
        <w:t xml:space="preserve">    %% Protocols and connections</w:t>
        <w:br/>
      </w:r>
    </w:p>
    <w:p>
      <w:pPr>
        <w:spacing w:after="0"/>
        <w:ind w:left="720"/>
      </w:pPr>
      <w:r>
        <w:rPr>
          <w:rFonts w:ascii="Consolas" w:hAnsi="Consolas"/>
          <w:color w:val="505050"/>
          <w:sz w:val="18"/>
        </w:rPr>
        <w:t xml:space="preserve">    MQTT_Client == "Local Wi-Fi / MQTT (offline)" ==&gt; AP</w:t>
        <w:br/>
      </w:r>
    </w:p>
    <w:p>
      <w:pPr>
        <w:spacing w:after="0"/>
        <w:ind w:left="720"/>
      </w:pPr>
      <w:r>
        <w:rPr>
          <w:rFonts w:ascii="Consolas" w:hAnsi="Consolas"/>
          <w:color w:val="505050"/>
          <w:sz w:val="18"/>
        </w:rPr>
        <w:t xml:space="preserve">    Browser == "WebSocket / HTTP" ==&gt; AP</w:t>
        <w:br/>
      </w:r>
    </w:p>
    <w:p>
      <w:pPr>
        <w:spacing w:after="0"/>
        <w:ind w:left="720"/>
      </w:pPr>
      <w:r>
        <w:rPr>
          <w:rFonts w:ascii="Consolas" w:hAnsi="Consolas"/>
          <w:color w:val="505050"/>
          <w:sz w:val="18"/>
        </w:rPr>
        <w:t xml:space="preserve">    Browser == "Bluetooth RFCOMM" ==&gt; BT</w:t>
        <w:br/>
      </w:r>
    </w:p>
    <w:p>
      <w:pPr>
        <w:spacing w:after="240"/>
        <w:jc w:val="center"/>
      </w:pPr>
      <w:r>
        <w:rPr>
          <w:color w:val="C8C8C8"/>
        </w:rPr>
        <w:t>____________________________________________________</w:t>
      </w:r>
    </w:p>
    <w:p>
      <w:pPr>
        <w:pStyle w:val="Heading3"/>
        <w:spacing w:before="120" w:after="80"/>
      </w:pPr>
      <w:r>
        <w:rPr>
          <w:rFonts w:ascii="Times New Roman" w:hAnsi="Times New Roman"/>
          <w:b/>
        </w:rPr>
        <w:t>3.4.2 Embedded Hardware Circuit Design</w:t>
      </w:r>
    </w:p>
    <w:p>
      <w:pPr>
        <w:spacing w:after="120" w:line="276" w:lineRule="auto"/>
      </w:pPr>
      <w:r>
        <w:t>To satisfy the strict cost-reduction parameters of the initial deployment stage, the design routes all edge telemetry sensors, local user interface displays, and physical inputs directly to the native GPIO pins of the Raspberry Pi Pico W. This direct-mapping strategy eliminates the requirement for I2C port expanders (such as the MCP23017), reducing component count and structural complexity.</w:t>
      </w:r>
    </w:p>
    <w:p>
      <w:pPr>
        <w:spacing w:after="120" w:line="276" w:lineRule="auto"/>
      </w:pPr>
      <w:r>
        <w:t>The electrical schematic layout details the physical pin configurations:</w:t>
      </w:r>
    </w:p>
    <w:p>
      <w:pPr>
        <w:pStyle w:val="ListNumber"/>
        <w:spacing w:after="60"/>
        <w:ind w:left="360"/>
      </w:pPr>
      <w:r>
        <w:rPr>
          <w:b/>
        </w:rPr>
        <w:t>Agri-Analytics Sensors</w:t>
      </w:r>
      <w:r>
        <w:t>: The capacitive soil moisture sensor interfaces via the GP26/ADC0 pin to capture analog voltage readouts. The DHT22 digital temperature and humidity sensor utilizes a single-bus digital line connected to GP15 with an external 4.7kΩ pull-up resistor.</w:t>
      </w:r>
    </w:p>
    <w:p>
      <w:pPr>
        <w:pStyle w:val="ListNumber"/>
        <w:spacing w:after="60"/>
        <w:ind w:left="360"/>
      </w:pPr>
      <w:r>
        <w:rPr>
          <w:b/>
        </w:rPr>
        <w:t>Edge-Alert Security Sensors</w:t>
      </w:r>
      <w:r>
        <w:t>: The HC-SR501 PIR motion sensor outputs a digital signal to GP14, while the HC-SR04 ultrasonic sensor utilizes GP16 for trigger input and GP17 for echo output.</w:t>
      </w:r>
    </w:p>
    <w:p>
      <w:pPr>
        <w:pStyle w:val="ListNumber"/>
        <w:spacing w:after="60"/>
        <w:ind w:left="360"/>
      </w:pPr>
      <w:r>
        <w:rPr>
          <w:b/>
        </w:rPr>
        <w:t>User Interface &amp; Controls</w:t>
      </w:r>
      <w:r>
        <w:t>: The SPI TFT display (ST7735 controller) maps to the hardware SPI0 bus on GP18 (SCK) and GP19 (MOSI/TX), with CS on GP20, DC on GP21, and Reset on GP22. Physical inputs are handled via three tactile push-buttons connected to GP10, GP11, and GP12, configured with internal pull-up resistors.</w:t>
      </w:r>
    </w:p>
    <w:p>
      <w:pPr>
        <w:pStyle w:val="ListNumber"/>
        <w:spacing w:after="60"/>
        <w:ind w:left="360"/>
      </w:pPr>
      <w:r>
        <w:rPr>
          <w:b/>
        </w:rPr>
        <w:t>Power Distribution</w:t>
      </w:r>
      <w:r>
        <w:t>: A TP4056 charging and step-up protection module accepts a 3.7V Lithium-Ion cell and outputs a boosted 5V rail connected to VBUS (Pin 40), powering the 5V PIR and ultrasonic sensors. The Pico W provides a regulated 3.3V output (Pin 36) to power the low-voltage soil sensor, DHT22, and SPI TFT display.</w:t>
      </w:r>
    </w:p>
    <w:p>
      <w:pPr>
        <w:spacing w:after="0"/>
        <w:ind w:left="720"/>
      </w:pPr>
      <w:r>
        <w:rPr>
          <w:rFonts w:ascii="Consolas" w:hAnsi="Consolas"/>
          <w:color w:val="505050"/>
          <w:sz w:val="18"/>
        </w:rPr>
        <w:t>graph LR</w:t>
        <w:br/>
      </w:r>
    </w:p>
    <w:p>
      <w:pPr>
        <w:spacing w:after="0"/>
        <w:ind w:left="720"/>
      </w:pPr>
      <w:r>
        <w:rPr>
          <w:rFonts w:ascii="Consolas" w:hAnsi="Consolas"/>
          <w:color w:val="505050"/>
          <w:sz w:val="18"/>
        </w:rPr>
        <w:t xml:space="preserve">    %% Styling Classes</w:t>
        <w:br/>
      </w:r>
    </w:p>
    <w:p>
      <w:pPr>
        <w:spacing w:after="0"/>
        <w:ind w:left="720"/>
      </w:pPr>
      <w:r>
        <w:rPr>
          <w:rFonts w:ascii="Consolas" w:hAnsi="Consolas"/>
          <w:color w:val="505050"/>
          <w:sz w:val="18"/>
        </w:rPr>
        <w:t xml:space="preserve">    classDef picoStyle fill:#2d3748,stroke:#4a5568,stroke-width:2px,color:#fff;</w:t>
        <w:br/>
      </w:r>
    </w:p>
    <w:p>
      <w:pPr>
        <w:spacing w:after="0"/>
        <w:ind w:left="720"/>
      </w:pPr>
      <w:r>
        <w:rPr>
          <w:rFonts w:ascii="Consolas" w:hAnsi="Consolas"/>
          <w:color w:val="505050"/>
          <w:sz w:val="18"/>
        </w:rPr>
        <w:t xml:space="preserve">    classDef sensorStyle fill:#1a202c,stroke:#718096,stroke-width:1px,color:#e2e8f0;</w:t>
        <w:br/>
      </w:r>
    </w:p>
    <w:p>
      <w:pPr>
        <w:spacing w:after="0"/>
        <w:ind w:left="720"/>
      </w:pPr>
      <w:r>
        <w:rPr>
          <w:rFonts w:ascii="Consolas" w:hAnsi="Consolas"/>
          <w:color w:val="505050"/>
          <w:sz w:val="18"/>
        </w:rPr>
        <w:t xml:space="preserve">    classDef powerStyle fill:#744210,stroke:#d69e2e,stroke-width:1px,color:#fff;</w:t>
        <w:br/>
      </w:r>
    </w:p>
    <w:p>
      <w:pPr>
        <w:spacing w:after="0"/>
        <w:ind w:left="720"/>
      </w:pPr>
      <w:r>
        <w:rPr>
          <w:rFonts w:ascii="Consolas" w:hAnsi="Consolas"/>
          <w:color w:val="505050"/>
          <w:sz w:val="18"/>
        </w:rPr>
        <w:t xml:space="preserve">    subgraph PicoPins ["Raspberry Pi Pico W RP2040 Pins"]</w:t>
        <w:br/>
      </w:r>
    </w:p>
    <w:p>
      <w:pPr>
        <w:spacing w:after="0"/>
        <w:ind w:left="720"/>
      </w:pPr>
      <w:r>
        <w:rPr>
          <w:rFonts w:ascii="Consolas" w:hAnsi="Consolas"/>
          <w:color w:val="505050"/>
          <w:sz w:val="18"/>
        </w:rPr>
        <w:t xml:space="preserve">        Pico["RP2040 MCU Core"]:::picoStyle</w:t>
        <w:br/>
      </w:r>
    </w:p>
    <w:p>
      <w:pPr>
        <w:spacing w:after="0"/>
        <w:ind w:left="720"/>
      </w:pPr>
      <w:r>
        <w:rPr>
          <w:rFonts w:ascii="Consolas" w:hAnsi="Consolas"/>
          <w:color w:val="505050"/>
          <w:sz w:val="18"/>
        </w:rPr>
        <w:t xml:space="preserve">        GP10["GP10 (Input, Internal Pull-up)"]:::picoStyle</w:t>
        <w:br/>
      </w:r>
    </w:p>
    <w:p>
      <w:pPr>
        <w:spacing w:after="0"/>
        <w:ind w:left="720"/>
      </w:pPr>
      <w:r>
        <w:rPr>
          <w:rFonts w:ascii="Consolas" w:hAnsi="Consolas"/>
          <w:color w:val="505050"/>
          <w:sz w:val="18"/>
        </w:rPr>
        <w:t xml:space="preserve">        GP11["GP11 (Input, Internal Pull-up)"]:::picoStyle</w:t>
        <w:br/>
      </w:r>
    </w:p>
    <w:p>
      <w:pPr>
        <w:spacing w:after="0"/>
        <w:ind w:left="720"/>
      </w:pPr>
      <w:r>
        <w:rPr>
          <w:rFonts w:ascii="Consolas" w:hAnsi="Consolas"/>
          <w:color w:val="505050"/>
          <w:sz w:val="18"/>
        </w:rPr>
        <w:t xml:space="preserve">        GP12["GP12 (Input, Internal Pull-up)"]:::picoStyle</w:t>
        <w:br/>
      </w:r>
    </w:p>
    <w:p>
      <w:pPr>
        <w:spacing w:after="0"/>
        <w:ind w:left="720"/>
      </w:pPr>
      <w:r>
        <w:rPr>
          <w:rFonts w:ascii="Consolas" w:hAnsi="Consolas"/>
          <w:color w:val="505050"/>
          <w:sz w:val="18"/>
        </w:rPr>
        <w:t xml:space="preserve">        GP14["GP14 (Digital Input)"]:::picoStyle</w:t>
        <w:br/>
      </w:r>
    </w:p>
    <w:p>
      <w:pPr>
        <w:spacing w:after="0"/>
        <w:ind w:left="720"/>
      </w:pPr>
      <w:r>
        <w:rPr>
          <w:rFonts w:ascii="Consolas" w:hAnsi="Consolas"/>
          <w:color w:val="505050"/>
          <w:sz w:val="18"/>
        </w:rPr>
        <w:t xml:space="preserve">        GP15["GP15 (Digital I/O)"]:::picoStyle</w:t>
        <w:br/>
      </w:r>
    </w:p>
    <w:p>
      <w:pPr>
        <w:spacing w:after="0"/>
        <w:ind w:left="720"/>
      </w:pPr>
      <w:r>
        <w:rPr>
          <w:rFonts w:ascii="Consolas" w:hAnsi="Consolas"/>
          <w:color w:val="505050"/>
          <w:sz w:val="18"/>
        </w:rPr>
        <w:t xml:space="preserve">        GP16["GP16 (Digital Output)"]:::picoStyle</w:t>
        <w:br/>
      </w:r>
    </w:p>
    <w:p>
      <w:pPr>
        <w:spacing w:after="0"/>
        <w:ind w:left="720"/>
      </w:pPr>
      <w:r>
        <w:rPr>
          <w:rFonts w:ascii="Consolas" w:hAnsi="Consolas"/>
          <w:color w:val="505050"/>
          <w:sz w:val="18"/>
        </w:rPr>
        <w:t xml:space="preserve">        GP17["GP17 (Digital Input)"]:::picoStyle</w:t>
        <w:br/>
      </w:r>
    </w:p>
    <w:p>
      <w:pPr>
        <w:spacing w:after="0"/>
        <w:ind w:left="720"/>
      </w:pPr>
      <w:r>
        <w:rPr>
          <w:rFonts w:ascii="Consolas" w:hAnsi="Consolas"/>
          <w:color w:val="505050"/>
          <w:sz w:val="18"/>
        </w:rPr>
        <w:t xml:space="preserve">        GP18["GP18 (SPI0 SCK)"]:::picoStyle</w:t>
        <w:br/>
      </w:r>
    </w:p>
    <w:p>
      <w:pPr>
        <w:spacing w:after="0"/>
        <w:ind w:left="720"/>
      </w:pPr>
      <w:r>
        <w:rPr>
          <w:rFonts w:ascii="Consolas" w:hAnsi="Consolas"/>
          <w:color w:val="505050"/>
          <w:sz w:val="18"/>
        </w:rPr>
        <w:t xml:space="preserve">        GP19["GP19 (SPI0 TX/MOSI)"]:::picoStyle</w:t>
        <w:br/>
      </w:r>
    </w:p>
    <w:p>
      <w:pPr>
        <w:spacing w:after="0"/>
        <w:ind w:left="720"/>
      </w:pPr>
      <w:r>
        <w:rPr>
          <w:rFonts w:ascii="Consolas" w:hAnsi="Consolas"/>
          <w:color w:val="505050"/>
          <w:sz w:val="18"/>
        </w:rPr>
        <w:t xml:space="preserve">        GP20["GP20 (SPI0 CS)"]:::picoStyle</w:t>
        <w:br/>
      </w:r>
    </w:p>
    <w:p>
      <w:pPr>
        <w:spacing w:after="0"/>
        <w:ind w:left="720"/>
      </w:pPr>
      <w:r>
        <w:rPr>
          <w:rFonts w:ascii="Consolas" w:hAnsi="Consolas"/>
          <w:color w:val="505050"/>
          <w:sz w:val="18"/>
        </w:rPr>
        <w:t xml:space="preserve">        GP21["GP21 (SPI0 DC)"]:::picoStyle</w:t>
        <w:br/>
      </w:r>
    </w:p>
    <w:p>
      <w:pPr>
        <w:spacing w:after="0"/>
        <w:ind w:left="720"/>
      </w:pPr>
      <w:r>
        <w:rPr>
          <w:rFonts w:ascii="Consolas" w:hAnsi="Consolas"/>
          <w:color w:val="505050"/>
          <w:sz w:val="18"/>
        </w:rPr>
        <w:t xml:space="preserve">        GP22["GP22 (SPI0 RST)"]:::picoStyle</w:t>
        <w:br/>
      </w:r>
    </w:p>
    <w:p>
      <w:pPr>
        <w:spacing w:after="0"/>
        <w:ind w:left="720"/>
      </w:pPr>
      <w:r>
        <w:rPr>
          <w:rFonts w:ascii="Consolas" w:hAnsi="Consolas"/>
          <w:color w:val="505050"/>
          <w:sz w:val="18"/>
        </w:rPr>
        <w:t xml:space="preserve">        GP26["GP26 / ADC0 (Analog Input)"]:::picoStyle</w:t>
        <w:br/>
      </w:r>
    </w:p>
    <w:p>
      <w:pPr>
        <w:spacing w:after="0"/>
        <w:ind w:left="720"/>
      </w:pPr>
      <w:r>
        <w:rPr>
          <w:rFonts w:ascii="Consolas" w:hAnsi="Consolas"/>
          <w:color w:val="505050"/>
          <w:sz w:val="18"/>
        </w:rPr>
        <w:t xml:space="preserve">        V33["3.3V OUT (Pin 36)"]:::picoStyle</w:t>
        <w:br/>
      </w:r>
    </w:p>
    <w:p>
      <w:pPr>
        <w:spacing w:after="0"/>
        <w:ind w:left="720"/>
      </w:pPr>
      <w:r>
        <w:rPr>
          <w:rFonts w:ascii="Consolas" w:hAnsi="Consolas"/>
          <w:color w:val="505050"/>
          <w:sz w:val="18"/>
        </w:rPr>
        <w:t xml:space="preserve">        GND["GND (Pins 3, 8, 13, 18, 23, 28, 33, 38)"]:::picoStyle</w:t>
        <w:br/>
      </w:r>
    </w:p>
    <w:p>
      <w:pPr>
        <w:spacing w:after="0"/>
        <w:ind w:left="720"/>
      </w:pPr>
      <w:r>
        <w:rPr>
          <w:rFonts w:ascii="Consolas" w:hAnsi="Consolas"/>
          <w:color w:val="505050"/>
          <w:sz w:val="18"/>
        </w:rPr>
        <w:t xml:space="preserve">        VBUS["VBUS (Pin 40, +5V Input)"]:::picoStyle</w:t>
        <w:br/>
      </w:r>
    </w:p>
    <w:p>
      <w:pPr>
        <w:spacing w:after="0"/>
        <w:ind w:left="720"/>
      </w:pPr>
      <w:r>
        <w:rPr>
          <w:rFonts w:ascii="Consolas" w:hAnsi="Consolas"/>
          <w:color w:val="505050"/>
          <w:sz w:val="18"/>
        </w:rPr>
        <w:t xml:space="preserve">    end</w:t>
        <w:br/>
      </w:r>
    </w:p>
    <w:p>
      <w:pPr>
        <w:spacing w:after="0"/>
        <w:ind w:left="720"/>
      </w:pPr>
      <w:r>
        <w:rPr>
          <w:rFonts w:ascii="Consolas" w:hAnsi="Consolas"/>
          <w:color w:val="505050"/>
          <w:sz w:val="18"/>
        </w:rPr>
        <w:t xml:space="preserve">    subgraph Agri ["Agri-Analytics Sensors"]</w:t>
        <w:br/>
      </w:r>
    </w:p>
    <w:p>
      <w:pPr>
        <w:spacing w:after="0"/>
        <w:ind w:left="720"/>
      </w:pPr>
      <w:r>
        <w:rPr>
          <w:rFonts w:ascii="Consolas" w:hAnsi="Consolas"/>
          <w:color w:val="505050"/>
          <w:sz w:val="18"/>
        </w:rPr>
        <w:t xml:space="preserve">        DHT["DHT22 Temp &amp; Humidity Sensor"]:::sensorStyle</w:t>
        <w:br/>
      </w:r>
    </w:p>
    <w:p>
      <w:pPr>
        <w:spacing w:after="0"/>
        <w:ind w:left="720"/>
      </w:pPr>
      <w:r>
        <w:rPr>
          <w:rFonts w:ascii="Consolas" w:hAnsi="Consolas"/>
          <w:color w:val="505050"/>
          <w:sz w:val="18"/>
        </w:rPr>
        <w:t xml:space="preserve">        Soil["Capacitive Soil Moisture Sensor"]:::sensorStyle</w:t>
        <w:br/>
      </w:r>
    </w:p>
    <w:p>
      <w:pPr>
        <w:spacing w:after="0"/>
        <w:ind w:left="720"/>
      </w:pPr>
      <w:r>
        <w:rPr>
          <w:rFonts w:ascii="Consolas" w:hAnsi="Consolas"/>
          <w:color w:val="505050"/>
          <w:sz w:val="18"/>
        </w:rPr>
        <w:t xml:space="preserve">    end</w:t>
        <w:br/>
      </w:r>
    </w:p>
    <w:p>
      <w:pPr>
        <w:spacing w:after="0"/>
        <w:ind w:left="720"/>
      </w:pPr>
      <w:r>
        <w:rPr>
          <w:rFonts w:ascii="Consolas" w:hAnsi="Consolas"/>
          <w:color w:val="505050"/>
          <w:sz w:val="18"/>
        </w:rPr>
        <w:t xml:space="preserve">    subgraph Security ["Edge-Alert Sensors"]</w:t>
        <w:br/>
      </w:r>
    </w:p>
    <w:p>
      <w:pPr>
        <w:spacing w:after="0"/>
        <w:ind w:left="720"/>
      </w:pPr>
      <w:r>
        <w:rPr>
          <w:rFonts w:ascii="Consolas" w:hAnsi="Consolas"/>
          <w:color w:val="505050"/>
          <w:sz w:val="18"/>
        </w:rPr>
        <w:t xml:space="preserve">        PIR["HC-SR501 PIR Motion Sensor"]:::sensorStyle</w:t>
        <w:br/>
      </w:r>
    </w:p>
    <w:p>
      <w:pPr>
        <w:spacing w:after="0"/>
        <w:ind w:left="720"/>
      </w:pPr>
      <w:r>
        <w:rPr>
          <w:rFonts w:ascii="Consolas" w:hAnsi="Consolas"/>
          <w:color w:val="505050"/>
          <w:sz w:val="18"/>
        </w:rPr>
        <w:t xml:space="preserve">        US["HC-SR04 Ultrasonic Distance Sensor"]:::sensorStyle</w:t>
        <w:br/>
      </w:r>
    </w:p>
    <w:p>
      <w:pPr>
        <w:spacing w:after="0"/>
        <w:ind w:left="720"/>
      </w:pPr>
      <w:r>
        <w:rPr>
          <w:rFonts w:ascii="Consolas" w:hAnsi="Consolas"/>
          <w:color w:val="505050"/>
          <w:sz w:val="18"/>
        </w:rPr>
        <w:t xml:space="preserve">    end</w:t>
        <w:br/>
      </w:r>
    </w:p>
    <w:p>
      <w:pPr>
        <w:spacing w:after="0"/>
        <w:ind w:left="720"/>
      </w:pPr>
      <w:r>
        <w:rPr>
          <w:rFonts w:ascii="Consolas" w:hAnsi="Consolas"/>
          <w:color w:val="505050"/>
          <w:sz w:val="18"/>
        </w:rPr>
        <w:t xml:space="preserve">    subgraph UI ["User Interface Controls"]</w:t>
        <w:br/>
      </w:r>
    </w:p>
    <w:p>
      <w:pPr>
        <w:spacing w:after="0"/>
        <w:ind w:left="720"/>
      </w:pPr>
      <w:r>
        <w:rPr>
          <w:rFonts w:ascii="Consolas" w:hAnsi="Consolas"/>
          <w:color w:val="505050"/>
          <w:sz w:val="18"/>
        </w:rPr>
        <w:t xml:space="preserve">        Display["SPI TFT Display (ST7735)"]:::sensorStyle</w:t>
        <w:br/>
      </w:r>
    </w:p>
    <w:p>
      <w:pPr>
        <w:spacing w:after="0"/>
        <w:ind w:left="720"/>
      </w:pPr>
      <w:r>
        <w:rPr>
          <w:rFonts w:ascii="Consolas" w:hAnsi="Consolas"/>
          <w:color w:val="505050"/>
          <w:sz w:val="18"/>
        </w:rPr>
        <w:t xml:space="preserve">        Btn1["Tactile Button 1 (Manual Override)"]:::sensorStyle</w:t>
        <w:br/>
      </w:r>
    </w:p>
    <w:p>
      <w:pPr>
        <w:spacing w:after="0"/>
        <w:ind w:left="720"/>
      </w:pPr>
      <w:r>
        <w:rPr>
          <w:rFonts w:ascii="Consolas" w:hAnsi="Consolas"/>
          <w:color w:val="505050"/>
          <w:sz w:val="18"/>
        </w:rPr>
        <w:t xml:space="preserve">        Btn2["Tactile Button 2 (Display Toggle)"]:::sensorStyle</w:t>
        <w:br/>
      </w:r>
    </w:p>
    <w:p>
      <w:pPr>
        <w:spacing w:after="0"/>
        <w:ind w:left="720"/>
      </w:pPr>
      <w:r>
        <w:rPr>
          <w:rFonts w:ascii="Consolas" w:hAnsi="Consolas"/>
          <w:color w:val="505050"/>
          <w:sz w:val="18"/>
        </w:rPr>
        <w:t xml:space="preserve">        Btn3["Tactile Button 3 (Power-Down Request)"]:::sensorStyle</w:t>
        <w:br/>
      </w:r>
    </w:p>
    <w:p>
      <w:pPr>
        <w:spacing w:after="0"/>
        <w:ind w:left="720"/>
      </w:pPr>
      <w:r>
        <w:rPr>
          <w:rFonts w:ascii="Consolas" w:hAnsi="Consolas"/>
          <w:color w:val="505050"/>
          <w:sz w:val="18"/>
        </w:rPr>
        <w:t xml:space="preserve">    end</w:t>
        <w:br/>
      </w:r>
    </w:p>
    <w:p>
      <w:pPr>
        <w:spacing w:after="0"/>
        <w:ind w:left="720"/>
      </w:pPr>
      <w:r>
        <w:rPr>
          <w:rFonts w:ascii="Consolas" w:hAnsi="Consolas"/>
          <w:color w:val="505050"/>
          <w:sz w:val="18"/>
        </w:rPr>
        <w:t xml:space="preserve">    subgraph Power ["Power Management Subsystem"]</w:t>
        <w:br/>
      </w:r>
    </w:p>
    <w:p>
      <w:pPr>
        <w:spacing w:after="0"/>
        <w:ind w:left="720"/>
      </w:pPr>
      <w:r>
        <w:rPr>
          <w:rFonts w:ascii="Consolas" w:hAnsi="Consolas"/>
          <w:color w:val="505050"/>
          <w:sz w:val="18"/>
        </w:rPr>
        <w:t xml:space="preserve">        TP["TP4056 Charger &amp; Protection Module"]:::powerStyle</w:t>
        <w:br/>
      </w:r>
    </w:p>
    <w:p>
      <w:pPr>
        <w:spacing w:after="0"/>
        <w:ind w:left="720"/>
      </w:pPr>
      <w:r>
        <w:rPr>
          <w:rFonts w:ascii="Consolas" w:hAnsi="Consolas"/>
          <w:color w:val="505050"/>
          <w:sz w:val="18"/>
        </w:rPr>
        <w:t xml:space="preserve">        Bat["18650 Li-Ion Cell (3.7V)"]:::powerStyle</w:t>
        <w:br/>
      </w:r>
    </w:p>
    <w:p>
      <w:pPr>
        <w:spacing w:after="0"/>
        <w:ind w:left="720"/>
      </w:pPr>
      <w:r>
        <w:rPr>
          <w:rFonts w:ascii="Consolas" w:hAnsi="Consolas"/>
          <w:color w:val="505050"/>
          <w:sz w:val="18"/>
        </w:rPr>
        <w:t xml:space="preserve">    end</w:t>
        <w:br/>
      </w:r>
    </w:p>
    <w:p>
      <w:pPr>
        <w:spacing w:after="0"/>
        <w:ind w:left="720"/>
      </w:pPr>
      <w:r>
        <w:rPr>
          <w:rFonts w:ascii="Consolas" w:hAnsi="Consolas"/>
          <w:color w:val="505050"/>
          <w:sz w:val="18"/>
        </w:rPr>
        <w:t xml:space="preserve">    %% Sensor Connections</w:t>
        <w:br/>
      </w:r>
    </w:p>
    <w:p>
      <w:pPr>
        <w:spacing w:after="0"/>
        <w:ind w:left="720"/>
      </w:pPr>
      <w:r>
        <w:rPr>
          <w:rFonts w:ascii="Consolas" w:hAnsi="Consolas"/>
          <w:color w:val="505050"/>
          <w:sz w:val="18"/>
        </w:rPr>
        <w:t xml:space="preserve">    GP15 ---|"Data Bus (+4.7k Pull-up)"| DHT</w:t>
        <w:br/>
      </w:r>
    </w:p>
    <w:p>
      <w:pPr>
        <w:spacing w:after="0"/>
        <w:ind w:left="720"/>
      </w:pPr>
      <w:r>
        <w:rPr>
          <w:rFonts w:ascii="Consolas" w:hAnsi="Consolas"/>
          <w:color w:val="505050"/>
          <w:sz w:val="18"/>
        </w:rPr>
        <w:t xml:space="preserve">    GP26 ---|"Analog Output (0-3.3V)"| Soil</w:t>
        <w:br/>
      </w:r>
    </w:p>
    <w:p>
      <w:pPr>
        <w:spacing w:after="0"/>
        <w:ind w:left="720"/>
      </w:pPr>
      <w:r>
        <w:rPr>
          <w:rFonts w:ascii="Consolas" w:hAnsi="Consolas"/>
          <w:color w:val="505050"/>
          <w:sz w:val="18"/>
        </w:rPr>
        <w:t xml:space="preserve">    %% Security Connections</w:t>
        <w:br/>
      </w:r>
    </w:p>
    <w:p>
      <w:pPr>
        <w:spacing w:after="0"/>
        <w:ind w:left="720"/>
      </w:pPr>
      <w:r>
        <w:rPr>
          <w:rFonts w:ascii="Consolas" w:hAnsi="Consolas"/>
          <w:color w:val="505050"/>
          <w:sz w:val="18"/>
        </w:rPr>
        <w:t xml:space="preserve">    GP14 ---|"Trigger Out"| PIR</w:t>
        <w:br/>
      </w:r>
    </w:p>
    <w:p>
      <w:pPr>
        <w:spacing w:after="0"/>
        <w:ind w:left="720"/>
      </w:pPr>
      <w:r>
        <w:rPr>
          <w:rFonts w:ascii="Consolas" w:hAnsi="Consolas"/>
          <w:color w:val="505050"/>
          <w:sz w:val="18"/>
        </w:rPr>
        <w:t xml:space="preserve">    GP16 ---|"Trigger Pin"| US</w:t>
        <w:br/>
      </w:r>
    </w:p>
    <w:p>
      <w:pPr>
        <w:spacing w:after="0"/>
        <w:ind w:left="720"/>
      </w:pPr>
      <w:r>
        <w:rPr>
          <w:rFonts w:ascii="Consolas" w:hAnsi="Consolas"/>
          <w:color w:val="505050"/>
          <w:sz w:val="18"/>
        </w:rPr>
        <w:t xml:space="preserve">    GP17 ---|"Echo Pin"| US</w:t>
        <w:br/>
      </w:r>
    </w:p>
    <w:p>
      <w:pPr>
        <w:spacing w:after="0"/>
        <w:ind w:left="720"/>
      </w:pPr>
      <w:r>
        <w:rPr>
          <w:rFonts w:ascii="Consolas" w:hAnsi="Consolas"/>
          <w:color w:val="505050"/>
          <w:sz w:val="18"/>
        </w:rPr>
        <w:t xml:space="preserve">    %% UI Connections</w:t>
        <w:br/>
      </w:r>
    </w:p>
    <w:p>
      <w:pPr>
        <w:spacing w:after="0"/>
        <w:ind w:left="720"/>
      </w:pPr>
      <w:r>
        <w:rPr>
          <w:rFonts w:ascii="Consolas" w:hAnsi="Consolas"/>
          <w:color w:val="505050"/>
          <w:sz w:val="18"/>
        </w:rPr>
        <w:t xml:space="preserve">    GP18 ---|"SCK (Serial Clock)"| Display</w:t>
        <w:br/>
      </w:r>
    </w:p>
    <w:p>
      <w:pPr>
        <w:spacing w:after="0"/>
        <w:ind w:left="720"/>
      </w:pPr>
      <w:r>
        <w:rPr>
          <w:rFonts w:ascii="Consolas" w:hAnsi="Consolas"/>
          <w:color w:val="505050"/>
          <w:sz w:val="18"/>
        </w:rPr>
        <w:t xml:space="preserve">    GP19 ---|"SDA/MOSI (Data)"| Display</w:t>
        <w:br/>
      </w:r>
    </w:p>
    <w:p>
      <w:pPr>
        <w:spacing w:after="0"/>
        <w:ind w:left="720"/>
      </w:pPr>
      <w:r>
        <w:rPr>
          <w:rFonts w:ascii="Consolas" w:hAnsi="Consolas"/>
          <w:color w:val="505050"/>
          <w:sz w:val="18"/>
        </w:rPr>
        <w:t xml:space="preserve">    GP20 ---|"CS (Chip Select)"| Display</w:t>
        <w:br/>
      </w:r>
    </w:p>
    <w:p>
      <w:pPr>
        <w:spacing w:after="0"/>
        <w:ind w:left="720"/>
      </w:pPr>
      <w:r>
        <w:rPr>
          <w:rFonts w:ascii="Consolas" w:hAnsi="Consolas"/>
          <w:color w:val="505050"/>
          <w:sz w:val="18"/>
        </w:rPr>
        <w:t xml:space="preserve">    GP21 ---|"A0/DC (Data/Command)"| Display</w:t>
        <w:br/>
      </w:r>
    </w:p>
    <w:p>
      <w:pPr>
        <w:spacing w:after="0"/>
        <w:ind w:left="720"/>
      </w:pPr>
      <w:r>
        <w:rPr>
          <w:rFonts w:ascii="Consolas" w:hAnsi="Consolas"/>
          <w:color w:val="505050"/>
          <w:sz w:val="18"/>
        </w:rPr>
        <w:t xml:space="preserve">    GP22 ---|"RESET"| Display</w:t>
        <w:br/>
      </w:r>
    </w:p>
    <w:p>
      <w:pPr>
        <w:spacing w:after="0"/>
        <w:ind w:left="720"/>
      </w:pPr>
      <w:r>
        <w:rPr>
          <w:rFonts w:ascii="Consolas" w:hAnsi="Consolas"/>
          <w:color w:val="505050"/>
          <w:sz w:val="18"/>
        </w:rPr>
        <w:t xml:space="preserve">    GP10 --- Btn1</w:t>
        <w:br/>
      </w:r>
    </w:p>
    <w:p>
      <w:pPr>
        <w:spacing w:after="0"/>
        <w:ind w:left="720"/>
      </w:pPr>
      <w:r>
        <w:rPr>
          <w:rFonts w:ascii="Consolas" w:hAnsi="Consolas"/>
          <w:color w:val="505050"/>
          <w:sz w:val="18"/>
        </w:rPr>
        <w:t xml:space="preserve">    GP11 --- Btn2</w:t>
        <w:br/>
      </w:r>
    </w:p>
    <w:p>
      <w:pPr>
        <w:spacing w:after="0"/>
        <w:ind w:left="720"/>
      </w:pPr>
      <w:r>
        <w:rPr>
          <w:rFonts w:ascii="Consolas" w:hAnsi="Consolas"/>
          <w:color w:val="505050"/>
          <w:sz w:val="18"/>
        </w:rPr>
        <w:t xml:space="preserve">    GP12 --- Btn3</w:t>
        <w:br/>
      </w:r>
    </w:p>
    <w:p>
      <w:pPr>
        <w:spacing w:after="0"/>
        <w:ind w:left="720"/>
      </w:pPr>
      <w:r>
        <w:rPr>
          <w:rFonts w:ascii="Consolas" w:hAnsi="Consolas"/>
          <w:color w:val="505050"/>
          <w:sz w:val="18"/>
        </w:rPr>
        <w:t xml:space="preserve">    %% Power distribution</w:t>
        <w:br/>
      </w:r>
    </w:p>
    <w:p>
      <w:pPr>
        <w:spacing w:after="0"/>
        <w:ind w:left="720"/>
      </w:pPr>
      <w:r>
        <w:rPr>
          <w:rFonts w:ascii="Consolas" w:hAnsi="Consolas"/>
          <w:color w:val="505050"/>
          <w:sz w:val="18"/>
        </w:rPr>
        <w:t xml:space="preserve">    TP ---|"OUT+ (5V Boosted)"| VBUS</w:t>
        <w:br/>
      </w:r>
    </w:p>
    <w:p>
      <w:pPr>
        <w:spacing w:after="0"/>
        <w:ind w:left="720"/>
      </w:pPr>
      <w:r>
        <w:rPr>
          <w:rFonts w:ascii="Consolas" w:hAnsi="Consolas"/>
          <w:color w:val="505050"/>
          <w:sz w:val="18"/>
        </w:rPr>
        <w:t xml:space="preserve">    TP ---|"OUT- (GND)"| GND</w:t>
        <w:br/>
      </w:r>
    </w:p>
    <w:p>
      <w:pPr>
        <w:spacing w:after="0"/>
        <w:ind w:left="720"/>
      </w:pPr>
      <w:r>
        <w:rPr>
          <w:rFonts w:ascii="Consolas" w:hAnsi="Consolas"/>
          <w:color w:val="505050"/>
          <w:sz w:val="18"/>
        </w:rPr>
        <w:t xml:space="preserve">    Bat ---|"Battery Terminal"| TP</w:t>
        <w:br/>
      </w:r>
    </w:p>
    <w:p>
      <w:pPr>
        <w:spacing w:after="0"/>
        <w:ind w:left="720"/>
      </w:pPr>
      <w:r>
        <w:rPr>
          <w:rFonts w:ascii="Consolas" w:hAnsi="Consolas"/>
          <w:color w:val="505050"/>
          <w:sz w:val="18"/>
        </w:rPr>
        <w:t xml:space="preserve">    V33 ---|"Power VCC"| DHT</w:t>
        <w:br/>
      </w:r>
    </w:p>
    <w:p>
      <w:pPr>
        <w:spacing w:after="0"/>
        <w:ind w:left="720"/>
      </w:pPr>
      <w:r>
        <w:rPr>
          <w:rFonts w:ascii="Consolas" w:hAnsi="Consolas"/>
          <w:color w:val="505050"/>
          <w:sz w:val="18"/>
        </w:rPr>
        <w:t xml:space="preserve">    V33 ---|"Power VCC"| Soil</w:t>
        <w:br/>
      </w:r>
    </w:p>
    <w:p>
      <w:pPr>
        <w:spacing w:after="0"/>
        <w:ind w:left="720"/>
      </w:pPr>
      <w:r>
        <w:rPr>
          <w:rFonts w:ascii="Consolas" w:hAnsi="Consolas"/>
          <w:color w:val="505050"/>
          <w:sz w:val="18"/>
        </w:rPr>
        <w:t xml:space="preserve">    V33 ---|"Power VCC"| Display</w:t>
        <w:br/>
      </w:r>
    </w:p>
    <w:p>
      <w:pPr>
        <w:spacing w:after="0"/>
        <w:ind w:left="720"/>
      </w:pPr>
      <w:r>
        <w:rPr>
          <w:rFonts w:ascii="Consolas" w:hAnsi="Consolas"/>
          <w:color w:val="505050"/>
          <w:sz w:val="18"/>
        </w:rPr>
        <w:t xml:space="preserve">    VBUS ---|"5V VCC"| PIR</w:t>
        <w:br/>
      </w:r>
    </w:p>
    <w:p>
      <w:pPr>
        <w:spacing w:after="0"/>
        <w:ind w:left="720"/>
      </w:pPr>
      <w:r>
        <w:rPr>
          <w:rFonts w:ascii="Consolas" w:hAnsi="Consolas"/>
          <w:color w:val="505050"/>
          <w:sz w:val="18"/>
        </w:rPr>
        <w:t xml:space="preserve">    VBUS ---|"5V VCC"| US</w:t>
        <w:br/>
      </w:r>
    </w:p>
    <w:p>
      <w:pPr>
        <w:spacing w:after="240"/>
        <w:jc w:val="center"/>
      </w:pPr>
      <w:r>
        <w:rPr>
          <w:color w:val="C8C8C8"/>
        </w:rPr>
        <w:t>____________________________________________________</w:t>
      </w:r>
    </w:p>
    <w:p>
      <w:pPr>
        <w:pStyle w:val="Heading3"/>
        <w:spacing w:before="120" w:after="80"/>
      </w:pPr>
      <w:r>
        <w:rPr>
          <w:rFonts w:ascii="Times New Roman" w:hAnsi="Times New Roman"/>
          <w:b/>
        </w:rPr>
        <w:t>3.4.3 Operational Flowcharts &amp; Logic Loops</w:t>
      </w:r>
    </w:p>
    <w:p>
      <w:pPr>
        <w:pStyle w:val="Heading4"/>
        <w:spacing w:before="120" w:after="80"/>
      </w:pPr>
      <w:r>
        <w:rPr>
          <w:rFonts w:ascii="Times New Roman" w:hAnsi="Times New Roman"/>
          <w:b/>
          <w:i/>
        </w:rPr>
        <w:t>1. Telemetry Accumulation &amp; Inference Loop</w:t>
      </w:r>
    </w:p>
    <w:p>
      <w:pPr>
        <w:spacing w:after="120" w:line="276" w:lineRule="auto"/>
      </w:pPr>
      <w:r>
        <w:t>The Agri-Analytics Engine relies on an event-triggered feedback and processing loop. The Pico W samples moisture and microclimate variables, applies local filters, displays the results, and publishes raw variables to the orchestrator. The central orchestrator caches the records and executes a TensorFlow Lite watering requirements predictor model at scheduled intervals.</w:t>
      </w:r>
    </w:p>
    <w:p>
      <w:pPr>
        <w:spacing w:after="0"/>
        <w:ind w:left="720"/>
      </w:pPr>
      <w:r>
        <w:rPr>
          <w:rFonts w:ascii="Consolas" w:hAnsi="Consolas"/>
          <w:color w:val="505050"/>
          <w:sz w:val="18"/>
        </w:rPr>
        <w:t>flowchart TD</w:t>
        <w:br/>
      </w:r>
    </w:p>
    <w:p>
      <w:pPr>
        <w:spacing w:after="0"/>
        <w:ind w:left="720"/>
      </w:pPr>
      <w:r>
        <w:rPr>
          <w:rFonts w:ascii="Consolas" w:hAnsi="Consolas"/>
          <w:color w:val="505050"/>
          <w:sz w:val="18"/>
        </w:rPr>
        <w:t xml:space="preserve">    Start([Start telemetry cycle]) --&gt; Sample[Sample Soil Sensor GP26 &amp; DHT22 GP15]</w:t>
        <w:br/>
      </w:r>
    </w:p>
    <w:p>
      <w:pPr>
        <w:spacing w:after="0"/>
        <w:ind w:left="720"/>
      </w:pPr>
      <w:r>
        <w:rPr>
          <w:rFonts w:ascii="Consolas" w:hAnsi="Consolas"/>
          <w:color w:val="505050"/>
          <w:sz w:val="18"/>
        </w:rPr>
        <w:t xml:space="preserve">    Sample --&gt; Check{Value valid?}</w:t>
        <w:br/>
      </w:r>
    </w:p>
    <w:p>
      <w:pPr>
        <w:spacing w:after="0"/>
        <w:ind w:left="720"/>
      </w:pPr>
      <w:r>
        <w:rPr>
          <w:rFonts w:ascii="Consolas" w:hAnsi="Consolas"/>
          <w:color w:val="505050"/>
          <w:sz w:val="18"/>
        </w:rPr>
        <w:t xml:space="preserve">    Check -- No --&gt; LogErr[Log reading error to TFT] --&gt; Sleep[Sleep 15 seconds]</w:t>
        <w:br/>
      </w:r>
    </w:p>
    <w:p>
      <w:pPr>
        <w:spacing w:after="0"/>
        <w:ind w:left="720"/>
      </w:pPr>
      <w:r>
        <w:rPr>
          <w:rFonts w:ascii="Consolas" w:hAnsi="Consolas"/>
          <w:color w:val="505050"/>
          <w:sz w:val="18"/>
        </w:rPr>
        <w:t xml:space="preserve">    Check -- Yes --&gt; Filter[Apply software moving average filter]</w:t>
        <w:br/>
      </w:r>
    </w:p>
    <w:p>
      <w:pPr>
        <w:spacing w:after="0"/>
        <w:ind w:left="720"/>
      </w:pPr>
      <w:r>
        <w:rPr>
          <w:rFonts w:ascii="Consolas" w:hAnsi="Consolas"/>
          <w:color w:val="505050"/>
          <w:sz w:val="18"/>
        </w:rPr>
        <w:t xml:space="preserve">    Filter --&gt; DisplayTFT[Update local TFT Display GP18-22]</w:t>
        <w:br/>
      </w:r>
    </w:p>
    <w:p>
      <w:pPr>
        <w:spacing w:after="0"/>
        <w:ind w:left="720"/>
      </w:pPr>
      <w:r>
        <w:rPr>
          <w:rFonts w:ascii="Consolas" w:hAnsi="Consolas"/>
          <w:color w:val="505050"/>
          <w:sz w:val="18"/>
        </w:rPr>
        <w:t xml:space="preserve">    Filter --&gt; PubMQTT[Publish telemetry payload to MQTT broker via local Wi-Fi AP]</w:t>
        <w:br/>
      </w:r>
    </w:p>
    <w:p>
      <w:pPr>
        <w:spacing w:after="0"/>
        <w:ind w:left="720"/>
      </w:pPr>
      <w:r>
        <w:rPr>
          <w:rFonts w:ascii="Consolas" w:hAnsi="Consolas"/>
          <w:color w:val="505050"/>
          <w:sz w:val="18"/>
        </w:rPr>
        <w:t xml:space="preserve">    PubMQTT --&gt; BrokerRecv[Pi 4 Mosquitto broker routes payload]</w:t>
        <w:br/>
      </w:r>
    </w:p>
    <w:p>
      <w:pPr>
        <w:spacing w:after="0"/>
        <w:ind w:left="720"/>
      </w:pPr>
      <w:r>
        <w:rPr>
          <w:rFonts w:ascii="Consolas" w:hAnsi="Consolas"/>
          <w:color w:val="505050"/>
          <w:sz w:val="18"/>
        </w:rPr>
        <w:t xml:space="preserve">    BrokerRecv --&gt; DBWrite[Store values in local InfluxDB]</w:t>
        <w:br/>
      </w:r>
    </w:p>
    <w:p>
      <w:pPr>
        <w:spacing w:after="0"/>
        <w:ind w:left="720"/>
      </w:pPr>
      <w:r>
        <w:rPr>
          <w:rFonts w:ascii="Consolas" w:hAnsi="Consolas"/>
          <w:color w:val="505050"/>
          <w:sz w:val="18"/>
        </w:rPr>
        <w:t xml:space="preserve">    DBWrite --&gt; Infer{Inference timer expired?}</w:t>
        <w:br/>
      </w:r>
    </w:p>
    <w:p>
      <w:pPr>
        <w:spacing w:after="0"/>
        <w:ind w:left="720"/>
      </w:pPr>
      <w:r>
        <w:rPr>
          <w:rFonts w:ascii="Consolas" w:hAnsi="Consolas"/>
          <w:color w:val="505050"/>
          <w:sz w:val="18"/>
        </w:rPr>
        <w:t xml:space="preserve">    Infer -- No --&gt; Sleep</w:t>
        <w:br/>
      </w:r>
    </w:p>
    <w:p>
      <w:pPr>
        <w:spacing w:after="0"/>
        <w:ind w:left="720"/>
      </w:pPr>
      <w:r>
        <w:rPr>
          <w:rFonts w:ascii="Consolas" w:hAnsi="Consolas"/>
          <w:color w:val="505050"/>
          <w:sz w:val="18"/>
        </w:rPr>
        <w:t xml:space="preserve">    Infer -- Yes --&gt; Predict[Load TF Lite irrigation/watering predictor model]</w:t>
        <w:br/>
      </w:r>
    </w:p>
    <w:p>
      <w:pPr>
        <w:spacing w:after="0"/>
        <w:ind w:left="720"/>
      </w:pPr>
      <w:r>
        <w:rPr>
          <w:rFonts w:ascii="Consolas" w:hAnsi="Consolas"/>
          <w:color w:val="505050"/>
          <w:sz w:val="18"/>
        </w:rPr>
        <w:t xml:space="preserve">    Predict --&gt; DBQuery[Fetch historical telemetry from InfluxDB]</w:t>
        <w:br/>
      </w:r>
    </w:p>
    <w:p>
      <w:pPr>
        <w:spacing w:after="0"/>
        <w:ind w:left="720"/>
      </w:pPr>
      <w:r>
        <w:rPr>
          <w:rFonts w:ascii="Consolas" w:hAnsi="Consolas"/>
          <w:color w:val="505050"/>
          <w:sz w:val="18"/>
        </w:rPr>
        <w:t xml:space="preserve">    Predict --&gt; Execute[Execute local TensorFlow Lite inference on Pi 4 CPU]</w:t>
        <w:br/>
      </w:r>
    </w:p>
    <w:p>
      <w:pPr>
        <w:spacing w:after="0"/>
        <w:ind w:left="720"/>
      </w:pPr>
      <w:r>
        <w:rPr>
          <w:rFonts w:ascii="Consolas" w:hAnsi="Consolas"/>
          <w:color w:val="505050"/>
          <w:sz w:val="18"/>
        </w:rPr>
        <w:t xml:space="preserve">    Execute --&gt; StorePredict[Store prediction result in InfluxDB]</w:t>
        <w:br/>
      </w:r>
    </w:p>
    <w:p>
      <w:pPr>
        <w:spacing w:after="0"/>
        <w:ind w:left="720"/>
      </w:pPr>
      <w:r>
        <w:rPr>
          <w:rFonts w:ascii="Consolas" w:hAnsi="Consolas"/>
          <w:color w:val="505050"/>
          <w:sz w:val="18"/>
        </w:rPr>
        <w:t xml:space="preserve">    StorePredict --&gt; ProjDisplay[Update local projected dashboard via Grafana]</w:t>
        <w:br/>
      </w:r>
    </w:p>
    <w:p>
      <w:pPr>
        <w:spacing w:after="0"/>
        <w:ind w:left="720"/>
      </w:pPr>
      <w:r>
        <w:rPr>
          <w:rFonts w:ascii="Consolas" w:hAnsi="Consolas"/>
          <w:color w:val="505050"/>
          <w:sz w:val="18"/>
        </w:rPr>
        <w:t xml:space="preserve">    ProjDisplay --&gt; Sleep</w:t>
        <w:br/>
      </w:r>
    </w:p>
    <w:p>
      <w:pPr>
        <w:pStyle w:val="Heading4"/>
        <w:spacing w:before="120" w:after="80"/>
      </w:pPr>
      <w:r>
        <w:rPr>
          <w:rFonts w:ascii="Times New Roman" w:hAnsi="Times New Roman"/>
          <w:b/>
          <w:i/>
        </w:rPr>
        <w:t>2. Edge-Alert Perimeter Gateway Trigger Loop</w:t>
      </w:r>
    </w:p>
    <w:p>
      <w:pPr>
        <w:spacing w:after="120" w:line="276" w:lineRule="auto"/>
      </w:pPr>
      <w:r>
        <w:t>The security gateway operates on a continuous low-latency polling loop. Sensors connected to the edge Pico W monitor physical parameters. Once a threshold violation is met, the node bypasses local storage and immediately transmits an MQTT trigger message to the central Vault running Kali Linux. The event handler logs the timestamp and alerts connected devices.</w:t>
      </w:r>
    </w:p>
    <w:p>
      <w:pPr>
        <w:spacing w:after="0"/>
        <w:ind w:left="720"/>
      </w:pPr>
      <w:r>
        <w:rPr>
          <w:rFonts w:ascii="Consolas" w:hAnsi="Consolas"/>
          <w:color w:val="505050"/>
          <w:sz w:val="18"/>
        </w:rPr>
        <w:t>flowchart TD</w:t>
        <w:br/>
      </w:r>
    </w:p>
    <w:p>
      <w:pPr>
        <w:spacing w:after="0"/>
        <w:ind w:left="720"/>
      </w:pPr>
      <w:r>
        <w:rPr>
          <w:rFonts w:ascii="Consolas" w:hAnsi="Consolas"/>
          <w:color w:val="505050"/>
          <w:sz w:val="18"/>
        </w:rPr>
        <w:t xml:space="preserve">    Start([Start security monitor loop]) --&gt; Poll[Poll PIR GP14 &amp; Ultrasonic distance GP16/17]</w:t>
        <w:br/>
      </w:r>
    </w:p>
    <w:p>
      <w:pPr>
        <w:spacing w:after="0"/>
        <w:ind w:left="720"/>
      </w:pPr>
      <w:r>
        <w:rPr>
          <w:rFonts w:ascii="Consolas" w:hAnsi="Consolas"/>
          <w:color w:val="505050"/>
          <w:sz w:val="18"/>
        </w:rPr>
        <w:t xml:space="preserve">    Poll --&gt; CheckPIR{PIR high?}</w:t>
        <w:br/>
      </w:r>
    </w:p>
    <w:p>
      <w:pPr>
        <w:spacing w:after="0"/>
        <w:ind w:left="720"/>
      </w:pPr>
      <w:r>
        <w:rPr>
          <w:rFonts w:ascii="Consolas" w:hAnsi="Consolas"/>
          <w:color w:val="505050"/>
          <w:sz w:val="18"/>
        </w:rPr>
        <w:t xml:space="preserve">    Poll --&gt; CheckUS{Distance changed &gt; threshold?}</w:t>
        <w:br/>
      </w:r>
    </w:p>
    <w:p>
      <w:pPr>
        <w:spacing w:after="0"/>
        <w:ind w:left="720"/>
      </w:pPr>
      <w:r>
        <w:rPr>
          <w:rFonts w:ascii="Consolas" w:hAnsi="Consolas"/>
          <w:color w:val="505050"/>
          <w:sz w:val="18"/>
        </w:rPr>
        <w:t xml:space="preserve">    CheckPIR -- Yes --&gt; Trigger[Intrusion event flagged]</w:t>
        <w:br/>
      </w:r>
    </w:p>
    <w:p>
      <w:pPr>
        <w:spacing w:after="0"/>
        <w:ind w:left="720"/>
      </w:pPr>
      <w:r>
        <w:rPr>
          <w:rFonts w:ascii="Consolas" w:hAnsi="Consolas"/>
          <w:color w:val="505050"/>
          <w:sz w:val="18"/>
        </w:rPr>
        <w:t xml:space="preserve">    CheckUS -- Yes --&gt; Trigger</w:t>
        <w:br/>
      </w:r>
    </w:p>
    <w:p>
      <w:pPr>
        <w:spacing w:after="0"/>
        <w:ind w:left="720"/>
      </w:pPr>
      <w:r>
        <w:rPr>
          <w:rFonts w:ascii="Consolas" w:hAnsi="Consolas"/>
          <w:color w:val="505050"/>
          <w:sz w:val="18"/>
        </w:rPr>
        <w:t xml:space="preserve">    CheckPIR -- No --&gt; CheckUS</w:t>
        <w:br/>
      </w:r>
    </w:p>
    <w:p>
      <w:pPr>
        <w:spacing w:after="0"/>
        <w:ind w:left="720"/>
      </w:pPr>
      <w:r>
        <w:rPr>
          <w:rFonts w:ascii="Consolas" w:hAnsi="Consolas"/>
          <w:color w:val="505050"/>
          <w:sz w:val="18"/>
        </w:rPr>
        <w:t xml:space="preserve">    CheckUS -- No --&gt; Poll</w:t>
        <w:br/>
      </w:r>
    </w:p>
    <w:p>
      <w:pPr>
        <w:spacing w:after="0"/>
        <w:ind w:left="720"/>
      </w:pPr>
      <w:r>
        <w:rPr>
          <w:rFonts w:ascii="Consolas" w:hAnsi="Consolas"/>
          <w:color w:val="505050"/>
          <w:sz w:val="18"/>
        </w:rPr>
        <w:t xml:space="preserve">    Trigger --&gt; PubAlert[Pico W publishes alert payload to MQTT alert/trigger topic]</w:t>
        <w:br/>
      </w:r>
    </w:p>
    <w:p>
      <w:pPr>
        <w:spacing w:after="0"/>
        <w:ind w:left="720"/>
      </w:pPr>
      <w:r>
        <w:rPr>
          <w:rFonts w:ascii="Consolas" w:hAnsi="Consolas"/>
          <w:color w:val="505050"/>
          <w:sz w:val="18"/>
        </w:rPr>
        <w:t xml:space="preserve">    PubAlert --&gt; Handler[Pi 4 custom Python event-handler daemon intercepts alert]</w:t>
        <w:br/>
      </w:r>
    </w:p>
    <w:p>
      <w:pPr>
        <w:spacing w:after="0"/>
        <w:ind w:left="720"/>
      </w:pPr>
      <w:r>
        <w:rPr>
          <w:rFonts w:ascii="Consolas" w:hAnsi="Consolas"/>
          <w:color w:val="505050"/>
          <w:sz w:val="18"/>
        </w:rPr>
        <w:t xml:space="preserve">    Handler --&gt; LogDB[Log intrusion timestamp &amp; node ID to local SQLite log database]</w:t>
        <w:br/>
      </w:r>
    </w:p>
    <w:p>
      <w:pPr>
        <w:spacing w:after="0"/>
        <w:ind w:left="720"/>
      </w:pPr>
      <w:r>
        <w:rPr>
          <w:rFonts w:ascii="Consolas" w:hAnsi="Consolas"/>
          <w:color w:val="505050"/>
          <w:sz w:val="18"/>
        </w:rPr>
        <w:t xml:space="preserve">    Handler --&gt; Broadcast[Broadcast local system alert to connected local devices]</w:t>
        <w:br/>
      </w:r>
    </w:p>
    <w:p>
      <w:pPr>
        <w:spacing w:after="0"/>
        <w:ind w:left="720"/>
      </w:pPr>
      <w:r>
        <w:rPr>
          <w:rFonts w:ascii="Consolas" w:hAnsi="Consolas"/>
          <w:color w:val="505050"/>
          <w:sz w:val="18"/>
        </w:rPr>
        <w:t xml:space="preserve">    Broadcast --&gt; LocalAlert[Activate visual dashboard alert flashing on Grafana dashboard]</w:t>
        <w:br/>
      </w:r>
    </w:p>
    <w:p>
      <w:pPr>
        <w:spacing w:after="0"/>
        <w:ind w:left="720"/>
      </w:pPr>
      <w:r>
        <w:rPr>
          <w:rFonts w:ascii="Consolas" w:hAnsi="Consolas"/>
          <w:color w:val="505050"/>
          <w:sz w:val="18"/>
        </w:rPr>
        <w:t xml:space="preserve">    LocalAlert --&gt; Poll</w:t>
        <w:br/>
      </w:r>
    </w:p>
    <w:p>
      <w:pPr>
        <w:pStyle w:val="Heading4"/>
        <w:spacing w:before="120" w:after="80"/>
      </w:pPr>
      <w:r>
        <w:rPr>
          <w:rFonts w:ascii="Times New Roman" w:hAnsi="Times New Roman"/>
          <w:b/>
          <w:i/>
        </w:rPr>
        <w:t>3. Resilient Commerce Checkout Loop</w:t>
      </w:r>
    </w:p>
    <w:p>
      <w:pPr>
        <w:spacing w:after="120" w:line="276" w:lineRule="auto"/>
      </w:pPr>
      <w:r>
        <w:t>The transaction loop manages merchant checkout execution without cloud verification. Merchants utilize the Web-POS client on their smartphones to scan customer tokens (NFC badge) or wallets (QR codes), transmitting the payload to the local Vault. The Pi 4 validates transaction variables locally and writes them to the SQLite ledger using ACID-compliant transactions.</w:t>
      </w:r>
    </w:p>
    <w:p>
      <w:pPr>
        <w:spacing w:after="0"/>
        <w:ind w:left="720"/>
      </w:pPr>
      <w:r>
        <w:rPr>
          <w:rFonts w:ascii="Consolas" w:hAnsi="Consolas"/>
          <w:color w:val="505050"/>
          <w:sz w:val="18"/>
        </w:rPr>
        <w:t>flowchart TD</w:t>
        <w:br/>
      </w:r>
    </w:p>
    <w:p>
      <w:pPr>
        <w:spacing w:after="0"/>
        <w:ind w:left="720"/>
      </w:pPr>
      <w:r>
        <w:rPr>
          <w:rFonts w:ascii="Consolas" w:hAnsi="Consolas"/>
          <w:color w:val="505050"/>
          <w:sz w:val="18"/>
        </w:rPr>
        <w:t xml:space="preserve">    Start([Initiate transaction check]) --&gt; Input[Merchant enters items &amp; total on Web-POS interface]</w:t>
        <w:br/>
      </w:r>
    </w:p>
    <w:p>
      <w:pPr>
        <w:spacing w:after="0"/>
        <w:ind w:left="720"/>
      </w:pPr>
      <w:r>
        <w:rPr>
          <w:rFonts w:ascii="Consolas" w:hAnsi="Consolas"/>
          <w:color w:val="505050"/>
          <w:sz w:val="18"/>
        </w:rPr>
        <w:t xml:space="preserve">    Input --&gt; Token{Payment method?}</w:t>
        <w:br/>
      </w:r>
    </w:p>
    <w:p>
      <w:pPr>
        <w:spacing w:after="0"/>
        <w:ind w:left="720"/>
      </w:pPr>
      <w:r>
        <w:rPr>
          <w:rFonts w:ascii="Consolas" w:hAnsi="Consolas"/>
          <w:color w:val="505050"/>
          <w:sz w:val="18"/>
        </w:rPr>
        <w:t xml:space="preserve">    Token -- NFC Badge --&gt; ScanNFC[Scan customer RFID/NFC token using smartphone NFC reader]</w:t>
        <w:br/>
      </w:r>
    </w:p>
    <w:p>
      <w:pPr>
        <w:spacing w:after="0"/>
        <w:ind w:left="720"/>
      </w:pPr>
      <w:r>
        <w:rPr>
          <w:rFonts w:ascii="Consolas" w:hAnsi="Consolas"/>
          <w:color w:val="505050"/>
          <w:sz w:val="18"/>
        </w:rPr>
        <w:t xml:space="preserve">    Token -- QR Code --&gt; ScanQR[Scan customer digital wallet QR code using smartphone camera]</w:t>
        <w:br/>
      </w:r>
    </w:p>
    <w:p>
      <w:pPr>
        <w:spacing w:after="0"/>
        <w:ind w:left="720"/>
      </w:pPr>
      <w:r>
        <w:rPr>
          <w:rFonts w:ascii="Consolas" w:hAnsi="Consolas"/>
          <w:color w:val="505050"/>
          <w:sz w:val="18"/>
        </w:rPr>
        <w:t xml:space="preserve">    ScanNFC --&gt; Package[Construct JSON transaction payload containing merchant ID, customer token, timestamp, and amount]</w:t>
        <w:br/>
      </w:r>
    </w:p>
    <w:p>
      <w:pPr>
        <w:spacing w:after="0"/>
        <w:ind w:left="720"/>
      </w:pPr>
      <w:r>
        <w:rPr>
          <w:rFonts w:ascii="Consolas" w:hAnsi="Consolas"/>
          <w:color w:val="505050"/>
          <w:sz w:val="18"/>
        </w:rPr>
        <w:t xml:space="preserve">    ScanQR --&gt; Package</w:t>
        <w:br/>
      </w:r>
    </w:p>
    <w:p>
      <w:pPr>
        <w:spacing w:after="0"/>
        <w:ind w:left="720"/>
      </w:pPr>
      <w:r>
        <w:rPr>
          <w:rFonts w:ascii="Consolas" w:hAnsi="Consolas"/>
          <w:color w:val="505050"/>
          <w:sz w:val="18"/>
        </w:rPr>
        <w:t xml:space="preserve">    Package --&gt; Transport{Network availability?}</w:t>
        <w:br/>
      </w:r>
    </w:p>
    <w:p>
      <w:pPr>
        <w:spacing w:after="0"/>
        <w:ind w:left="720"/>
      </w:pPr>
      <w:r>
        <w:rPr>
          <w:rFonts w:ascii="Consolas" w:hAnsi="Consolas"/>
          <w:color w:val="505050"/>
          <w:sz w:val="18"/>
        </w:rPr>
        <w:t xml:space="preserve">    Transport -- Local Wi-Fi AP --&gt; SendSocket[Send payload to Pi 4 POS daemon via WebSocket/HTTP]</w:t>
        <w:br/>
      </w:r>
    </w:p>
    <w:p>
      <w:pPr>
        <w:spacing w:after="0"/>
        <w:ind w:left="720"/>
      </w:pPr>
      <w:r>
        <w:rPr>
          <w:rFonts w:ascii="Consolas" w:hAnsi="Consolas"/>
          <w:color w:val="505050"/>
          <w:sz w:val="18"/>
        </w:rPr>
        <w:t xml:space="preserve">    Transport -- Bluetooth SPP --&gt; SendBT[Send payload to Pi 4 POS daemon via RFCOMM socket connection]</w:t>
        <w:br/>
      </w:r>
    </w:p>
    <w:p>
      <w:pPr>
        <w:spacing w:after="0"/>
        <w:ind w:left="720"/>
      </w:pPr>
      <w:r>
        <w:rPr>
          <w:rFonts w:ascii="Consolas" w:hAnsi="Consolas"/>
          <w:color w:val="505050"/>
          <w:sz w:val="18"/>
        </w:rPr>
        <w:t xml:space="preserve">    SendSocket --&gt; Validate[Pi 4 Python POS daemon receives payload]</w:t>
        <w:br/>
      </w:r>
    </w:p>
    <w:p>
      <w:pPr>
        <w:spacing w:after="0"/>
        <w:ind w:left="720"/>
      </w:pPr>
      <w:r>
        <w:rPr>
          <w:rFonts w:ascii="Consolas" w:hAnsi="Consolas"/>
          <w:color w:val="505050"/>
          <w:sz w:val="18"/>
        </w:rPr>
        <w:t xml:space="preserve">    SendBT --&gt; Validate</w:t>
        <w:br/>
      </w:r>
    </w:p>
    <w:p>
      <w:pPr>
        <w:spacing w:after="0"/>
        <w:ind w:left="720"/>
      </w:pPr>
      <w:r>
        <w:rPr>
          <w:rFonts w:ascii="Consolas" w:hAnsi="Consolas"/>
          <w:color w:val="505050"/>
          <w:sz w:val="18"/>
        </w:rPr>
        <w:t xml:space="preserve">    Validate --&gt; CheckFunds{Validate customer token &amp; local balance in SQLite?}</w:t>
        <w:br/>
      </w:r>
    </w:p>
    <w:p>
      <w:pPr>
        <w:spacing w:after="0"/>
        <w:ind w:left="720"/>
      </w:pPr>
      <w:r>
        <w:rPr>
          <w:rFonts w:ascii="Consolas" w:hAnsi="Consolas"/>
          <w:color w:val="505050"/>
          <w:sz w:val="18"/>
        </w:rPr>
        <w:t xml:space="preserve">    CheckFunds -- Invalid/NSF --&gt; SendReject[Send transaction rejection response to Web-POS client]</w:t>
        <w:br/>
      </w:r>
    </w:p>
    <w:p>
      <w:pPr>
        <w:spacing w:after="0"/>
        <w:ind w:left="720"/>
      </w:pPr>
      <w:r>
        <w:rPr>
          <w:rFonts w:ascii="Consolas" w:hAnsi="Consolas"/>
          <w:color w:val="505050"/>
          <w:sz w:val="18"/>
        </w:rPr>
        <w:t xml:space="preserve">    CheckFunds -- Valid --&gt; WriteSQLite[Execute ACID-compliant SQLite local ledger transaction write]</w:t>
        <w:br/>
      </w:r>
    </w:p>
    <w:p>
      <w:pPr>
        <w:spacing w:after="0"/>
        <w:ind w:left="720"/>
      </w:pPr>
      <w:r>
        <w:rPr>
          <w:rFonts w:ascii="Consolas" w:hAnsi="Consolas"/>
          <w:color w:val="505050"/>
          <w:sz w:val="18"/>
        </w:rPr>
        <w:t xml:space="preserve">    WriteSQLite --&gt; SendSuccess[Send transaction success response with invoice ID to Web-POS client]</w:t>
        <w:br/>
      </w:r>
    </w:p>
    <w:p>
      <w:pPr>
        <w:spacing w:after="0"/>
        <w:ind w:left="720"/>
      </w:pPr>
      <w:r>
        <w:rPr>
          <w:rFonts w:ascii="Consolas" w:hAnsi="Consolas"/>
          <w:color w:val="505050"/>
          <w:sz w:val="18"/>
        </w:rPr>
        <w:t xml:space="preserve">    SendSuccess --&gt; ShowReceipt[Display receipt &amp; update local inventory tables]</w:t>
        <w:br/>
      </w:r>
    </w:p>
    <w:p>
      <w:pPr>
        <w:spacing w:after="0"/>
        <w:ind w:left="720"/>
      </w:pPr>
      <w:r>
        <w:rPr>
          <w:rFonts w:ascii="Consolas" w:hAnsi="Consolas"/>
          <w:color w:val="505050"/>
          <w:sz w:val="18"/>
        </w:rPr>
        <w:t xml:space="preserve">    SendReject --&gt; ShowError[Display transaction error on Web-POS screen]</w:t>
        <w:br/>
      </w:r>
    </w:p>
    <w:p>
      <w:pPr>
        <w:spacing w:after="0"/>
        <w:ind w:left="720"/>
      </w:pPr>
      <w:r>
        <w:rPr>
          <w:rFonts w:ascii="Consolas" w:hAnsi="Consolas"/>
          <w:color w:val="505050"/>
          <w:sz w:val="18"/>
        </w:rPr>
        <w:t xml:space="preserve">    ShowReceipt --&gt; End([End transaction])</w:t>
        <w:br/>
      </w:r>
    </w:p>
    <w:p>
      <w:pPr>
        <w:spacing w:after="0"/>
        <w:ind w:left="720"/>
      </w:pPr>
      <w:r>
        <w:rPr>
          <w:rFonts w:ascii="Consolas" w:hAnsi="Consolas"/>
          <w:color w:val="505050"/>
          <w:sz w:val="18"/>
        </w:rPr>
        <w:t xml:space="preserve">    ShowError --&gt; End</w:t>
        <w:br/>
      </w:r>
    </w:p>
    <w:p>
      <w:pPr>
        <w:pStyle w:val="Heading2"/>
        <w:spacing w:before="240" w:after="120"/>
      </w:pPr>
      <w:r>
        <w:rPr>
          <w:rFonts w:ascii="Times New Roman" w:hAnsi="Times New Roman"/>
          <w:b/>
        </w:rPr>
        <w:t>3.5 Tools and Materials Used</w:t>
      </w:r>
    </w:p>
    <w:p>
      <w:pPr>
        <w:spacing w:after="120" w:line="276" w:lineRule="auto"/>
      </w:pPr>
      <w:r>
        <w:t>To support replication, testing, and validation of the Modular Adaptive Data Node (MADN) system design, this section details the physical hardware, software frameworks, engineering tools, and mechanical fabrication materials used in constructing the prototype. The selection prioritizes open-source toolchains, off-the-shelf components, and accessible fabrication methods to align with the resource constraints of Bulawayo and Tsholotsho.</w:t>
      </w:r>
    </w:p>
    <w:p>
      <w:pPr>
        <w:spacing w:after="240"/>
        <w:jc w:val="center"/>
      </w:pPr>
      <w:r>
        <w:rPr>
          <w:color w:val="C8C8C8"/>
        </w:rPr>
        <w:t>____________________________________________________</w:t>
      </w:r>
    </w:p>
    <w:p>
      <w:pPr>
        <w:pStyle w:val="Heading3"/>
        <w:spacing w:before="120" w:after="80"/>
      </w:pPr>
      <w:r>
        <w:rPr>
          <w:rFonts w:ascii="Times New Roman" w:hAnsi="Times New Roman"/>
          <w:b/>
        </w:rPr>
        <w:t>3.5.1 Hardware and Prototyping Infrastructure</w:t>
      </w:r>
    </w:p>
    <w:p>
      <w:pPr>
        <w:spacing w:after="120" w:line="276" w:lineRule="auto"/>
      </w:pPr>
      <w:r>
        <w:t>The physical assembly of the MADN prototype relies on standard computing units, edge microcontrollers, customized breakout interfaces, and sensor modules:</w:t>
      </w:r>
    </w:p>
    <w:p>
      <w:pPr>
        <w:pStyle w:val="ListNumber"/>
        <w:spacing w:after="60"/>
        <w:ind w:left="360"/>
      </w:pPr>
      <w:r>
        <w:rPr>
          <w:b/>
        </w:rPr>
        <w:t>Central Orchestrator (The Vault)</w:t>
      </w:r>
      <w:r>
        <w:t>:</w:t>
      </w:r>
    </w:p>
    <w:p>
      <w:pPr>
        <w:pStyle w:val="ListBullet"/>
        <w:spacing w:after="60"/>
        <w:ind w:left="360"/>
      </w:pPr>
      <w:r>
        <w:t>*Raspberry Pi 4 Model B*: Powered via a Broadcom BCM2711 quad-core Cortex-A72 64-bit SoC, configured with 4GB of LPDDR4-3200 SDRAM.</w:t>
      </w:r>
    </w:p>
    <w:p>
      <w:pPr>
        <w:pStyle w:val="ListBullet"/>
        <w:spacing w:after="60"/>
        <w:ind w:left="360"/>
      </w:pPr>
      <w:r>
        <w:t>*High-Endurance MicroSD Card*: A 128GB Class 10 UHS-I card, chosen for time-series write endurance.</w:t>
      </w:r>
    </w:p>
    <w:p>
      <w:pPr>
        <w:pStyle w:val="ListBullet"/>
        <w:spacing w:after="60"/>
        <w:ind w:left="360"/>
      </w:pPr>
      <w:r>
        <w:t>*Portable Projector*: A low-power, lightweight LED projector utilized to display diagnostic dashboards to local groups in off-grid environments.</w:t>
      </w:r>
    </w:p>
    <w:p>
      <w:pPr>
        <w:pStyle w:val="ListBullet"/>
        <w:spacing w:after="60"/>
        <w:ind w:left="360"/>
      </w:pPr>
      <w:r>
        <w:t>*Active Cooling System*: A dual-fan heat-sink assembly designed to prevent thermal throttling under high ambient temperatures.</w:t>
      </w:r>
    </w:p>
    <w:p>
      <w:pPr>
        <w:pStyle w:val="ListBullet"/>
        <w:spacing w:after="60"/>
        <w:ind w:left="360"/>
      </w:pPr>
      <w:r>
        <w:t>*Power Source*: A standard 5V USB-C Power Supply Unit (PSU) for grid-connected operations, or a 5V USB power bank during grid outages.</w:t>
      </w:r>
    </w:p>
    <w:p>
      <w:pPr>
        <w:pStyle w:val="ListNumber"/>
        <w:spacing w:after="60"/>
        <w:ind w:left="360"/>
      </w:pPr>
      <w:r>
        <w:rPr>
          <w:b/>
        </w:rPr>
        <w:t>Edge Nodes (Intelligent Core)</w:t>
      </w:r>
      <w:r>
        <w:t>:</w:t>
      </w:r>
    </w:p>
    <w:p>
      <w:pPr>
        <w:pStyle w:val="ListBullet"/>
        <w:spacing w:after="60"/>
        <w:ind w:left="360"/>
      </w:pPr>
      <w:r>
        <w:t>*Raspberry Pi Pico W*: An RP2040 microcontroller board featuring dual ARM Cortex-M0+ cores, 264KB SRAM, 2MB of flash memory, and an onboard CYW43439 wireless interface for local Wi-Fi connectivity.</w:t>
      </w:r>
    </w:p>
    <w:p>
      <w:pPr>
        <w:pStyle w:val="ListNumber"/>
        <w:spacing w:after="60"/>
        <w:ind w:left="360"/>
      </w:pPr>
      <w:r>
        <w:rPr>
          <w:b/>
        </w:rPr>
        <w:t>Sensor Arrays &amp; Modules</w:t>
      </w:r>
      <w:r>
        <w:t>:</w:t>
      </w:r>
    </w:p>
    <w:p>
      <w:pPr>
        <w:pStyle w:val="ListBullet"/>
        <w:spacing w:after="60"/>
        <w:ind w:left="360"/>
      </w:pPr>
      <w:r>
        <w:t>*Capacitive Soil Moisture Sensors*: Corrosive-resistant analog probes used to sample localized soil hydration.</w:t>
      </w:r>
    </w:p>
    <w:p>
      <w:pPr>
        <w:pStyle w:val="ListBullet"/>
        <w:spacing w:after="60"/>
        <w:ind w:left="360"/>
      </w:pPr>
      <w:r>
        <w:t>*DHT22 (AM2302)*: Digital temperature and humidity sensors with single-bus outputs.</w:t>
      </w:r>
    </w:p>
    <w:p>
      <w:pPr>
        <w:pStyle w:val="ListBullet"/>
        <w:spacing w:after="60"/>
        <w:ind w:left="360"/>
      </w:pPr>
      <w:r>
        <w:t>*HC-SR501*: Passive Infrared (PIR) motion sensors for motion detection.</w:t>
      </w:r>
    </w:p>
    <w:p>
      <w:pPr>
        <w:pStyle w:val="ListBullet"/>
        <w:spacing w:after="60"/>
        <w:ind w:left="360"/>
      </w:pPr>
      <w:r>
        <w:t>*HC-SR04*: Ultrasonic distance sensors used to establish virtual tripwires.</w:t>
      </w:r>
    </w:p>
    <w:p>
      <w:pPr>
        <w:pStyle w:val="ListNumber"/>
        <w:spacing w:after="60"/>
        <w:ind w:left="360"/>
      </w:pPr>
      <w:r>
        <w:rPr>
          <w:b/>
        </w:rPr>
        <w:t>Power Management Components (Edge Tier)</w:t>
      </w:r>
      <w:r>
        <w:t>:</w:t>
      </w:r>
    </w:p>
    <w:p>
      <w:pPr>
        <w:pStyle w:val="ListBullet"/>
        <w:spacing w:after="60"/>
        <w:ind w:left="360"/>
      </w:pPr>
      <w:r>
        <w:t>*TP4056 Charger &amp; Step-Up Modules*: Charging controllers and step-up converters that accept a 3.7V battery input and output a boosted 5V rail.</w:t>
      </w:r>
    </w:p>
    <w:p>
      <w:pPr>
        <w:pStyle w:val="ListBullet"/>
        <w:spacing w:after="60"/>
        <w:ind w:left="360"/>
      </w:pPr>
      <w:r>
        <w:t>*18650 Lithium-Ion Cells*: Rechargeable cells (3.7V nominal, 2500mAh) to power edge sensing nodes.</w:t>
      </w:r>
    </w:p>
    <w:p>
      <w:pPr>
        <w:pStyle w:val="ListBullet"/>
        <w:spacing w:after="60"/>
        <w:ind w:left="360"/>
      </w:pPr>
      <w:r>
        <w:t>*JST-PH 2.0 Connectors*: Standard two-pin connectors for swapping battery packs in the field.</w:t>
      </w:r>
    </w:p>
    <w:p>
      <w:pPr>
        <w:pStyle w:val="ListNumber"/>
        <w:spacing w:after="60"/>
        <w:ind w:left="360"/>
      </w:pPr>
      <w:r>
        <w:rPr>
          <w:b/>
        </w:rPr>
        <w:t>User Interface Components (Edge Tier)</w:t>
      </w:r>
      <w:r>
        <w:t>:</w:t>
      </w:r>
    </w:p>
    <w:p>
      <w:pPr>
        <w:pStyle w:val="ListBullet"/>
        <w:spacing w:after="60"/>
        <w:ind w:left="360"/>
      </w:pPr>
      <w:r>
        <w:t>*ST7735 SPI TFT Display*: Color displays (1.8-inch or 2.4-inch) showing local node telemetry and diagnostics.</w:t>
      </w:r>
    </w:p>
    <w:p>
      <w:pPr>
        <w:pStyle w:val="ListBullet"/>
        <w:spacing w:after="60"/>
        <w:ind w:left="360"/>
      </w:pPr>
      <w:r>
        <w:t>*Tactile Buttons*: Momentary push-buttons configured with internal pull-up resistors for user inputs.</w:t>
      </w:r>
    </w:p>
    <w:p>
      <w:pPr>
        <w:spacing w:after="240"/>
        <w:jc w:val="center"/>
      </w:pPr>
      <w:r>
        <w:rPr>
          <w:color w:val="C8C8C8"/>
        </w:rPr>
        <w:t>____________________________________________________</w:t>
      </w:r>
    </w:p>
    <w:p>
      <w:pPr>
        <w:pStyle w:val="Heading3"/>
        <w:spacing w:before="120" w:after="80"/>
      </w:pPr>
      <w:r>
        <w:rPr>
          <w:rFonts w:ascii="Times New Roman" w:hAnsi="Times New Roman"/>
          <w:b/>
        </w:rPr>
        <w:t>3.5.2 Software Development and Deployment Toolchain</w:t>
      </w:r>
    </w:p>
    <w:p>
      <w:pPr>
        <w:spacing w:after="120" w:line="276" w:lineRule="auto"/>
      </w:pPr>
      <w:r>
        <w:t>The system's firmware, local-first databases, and network gateways are built using open-source platforms and protocols:</w:t>
      </w:r>
    </w:p>
    <w:p>
      <w:pPr>
        <w:pStyle w:val="ListNumber"/>
        <w:spacing w:after="60"/>
        <w:ind w:left="360"/>
      </w:pPr>
      <w:r>
        <w:rPr>
          <w:b/>
        </w:rPr>
        <w:t>Operating Systems &amp; Runtimes</w:t>
      </w:r>
      <w:r>
        <w:t>:</w:t>
      </w:r>
    </w:p>
    <w:p>
      <w:pPr>
        <w:pStyle w:val="ListBullet"/>
        <w:spacing w:after="60"/>
        <w:ind w:left="360"/>
      </w:pPr>
      <w:r>
        <w:t>*Kali Linux (ARM64 Headless)*: Minimal Debian-based operating system running on the central Raspberry Pi 4 to maximize available CPU and RAM.</w:t>
      </w:r>
    </w:p>
    <w:p>
      <w:pPr>
        <w:pStyle w:val="ListBullet"/>
        <w:spacing w:after="60"/>
        <w:ind w:left="360"/>
      </w:pPr>
      <w:r>
        <w:t>*MicroPython Firmware (v1.20+)*: Microcontroller runtime environment deployed on the Pico W, optimized for memory footprint and rapid logic updates.</w:t>
      </w:r>
    </w:p>
    <w:p>
      <w:pPr>
        <w:pStyle w:val="ListNumber"/>
        <w:spacing w:after="60"/>
        <w:ind w:left="360"/>
      </w:pPr>
      <w:r>
        <w:rPr>
          <w:b/>
        </w:rPr>
        <w:t>Telemetry and Middleware</w:t>
      </w:r>
      <w:r>
        <w:t>:</w:t>
      </w:r>
    </w:p>
    <w:p>
      <w:pPr>
        <w:pStyle w:val="ListBullet"/>
        <w:spacing w:after="60"/>
        <w:ind w:left="360"/>
      </w:pPr>
      <w:r>
        <w:t>*Mosquitto MQTT Broker*: A lightweight broker running on the Pi 4 to orchestrator network publish/subscribe telemetry paths.</w:t>
      </w:r>
    </w:p>
    <w:p>
      <w:pPr>
        <w:pStyle w:val="ListBullet"/>
        <w:spacing w:after="60"/>
        <w:ind w:left="360"/>
      </w:pPr>
      <w:r>
        <w:t>*Hostapd &amp; Dnsmasq*: Local network utilities configuring the Pi 4 as an offline wireless Access Point (AP).</w:t>
      </w:r>
    </w:p>
    <w:p>
      <w:pPr>
        <w:pStyle w:val="ListBullet"/>
        <w:spacing w:after="60"/>
        <w:ind w:left="360"/>
      </w:pPr>
      <w:r>
        <w:t>*PyBluez / Python SocketServer*: Daemons executing socket connection listeners for local Bluetooth (RFCOMM/SPP) payloads.</w:t>
      </w:r>
    </w:p>
    <w:p>
      <w:pPr>
        <w:pStyle w:val="ListNumber"/>
        <w:spacing w:after="60"/>
        <w:ind w:left="360"/>
      </w:pPr>
      <w:r>
        <w:rPr>
          <w:b/>
        </w:rPr>
        <w:t>Databases &amp; Dashboards</w:t>
      </w:r>
      <w:r>
        <w:t>:</w:t>
      </w:r>
    </w:p>
    <w:p>
      <w:pPr>
        <w:pStyle w:val="ListBullet"/>
        <w:spacing w:after="60"/>
        <w:ind w:left="360"/>
      </w:pPr>
      <w:r>
        <w:t>*InfluxDB (v2.x)*: A time-series database engine configured to record and query sensor telemetry on the central Pi 4.</w:t>
      </w:r>
    </w:p>
    <w:p>
      <w:pPr>
        <w:pStyle w:val="ListBullet"/>
        <w:spacing w:after="60"/>
        <w:ind w:left="360"/>
      </w:pPr>
      <w:r>
        <w:t>*SQLite*: An ACID-compliant local database engine running POS transaction ledger writes.</w:t>
      </w:r>
    </w:p>
    <w:p>
      <w:pPr>
        <w:pStyle w:val="ListBullet"/>
        <w:spacing w:after="60"/>
        <w:ind w:left="360"/>
      </w:pPr>
      <w:r>
        <w:t>*Grafana (v9.x+)*: An analytics platform configured with local dashboards projected via the portable projector.</w:t>
      </w:r>
    </w:p>
    <w:p>
      <w:pPr>
        <w:pStyle w:val="ListNumber"/>
        <w:spacing w:after="60"/>
        <w:ind w:left="360"/>
      </w:pPr>
      <w:r>
        <w:rPr>
          <w:b/>
        </w:rPr>
        <w:t>Machine Learning &amp; Inference</w:t>
      </w:r>
      <w:r>
        <w:t>:</w:t>
      </w:r>
    </w:p>
    <w:p>
      <w:pPr>
        <w:pStyle w:val="ListBullet"/>
        <w:spacing w:after="60"/>
        <w:ind w:left="360"/>
      </w:pPr>
      <w:r>
        <w:t>*TensorFlow Lite Runtime*: Interpreter-only library deployed on the Pi 4 to execute local watering requirement prediction models.</w:t>
      </w:r>
    </w:p>
    <w:p>
      <w:pPr>
        <w:pStyle w:val="ListNumber"/>
        <w:spacing w:after="60"/>
        <w:ind w:left="360"/>
      </w:pPr>
      <w:r>
        <w:rPr>
          <w:b/>
        </w:rPr>
        <w:t>Development Environments</w:t>
      </w:r>
      <w:r>
        <w:t>:</w:t>
      </w:r>
    </w:p>
    <w:p>
      <w:pPr>
        <w:pStyle w:val="ListBullet"/>
        <w:spacing w:after="60"/>
        <w:ind w:left="360"/>
      </w:pPr>
      <w:r>
        <w:t>*Thonny IDE*: MicroPython script uploading and interactive shell debugging.</w:t>
      </w:r>
    </w:p>
    <w:p>
      <w:pPr>
        <w:pStyle w:val="ListBullet"/>
        <w:spacing w:after="60"/>
        <w:ind w:left="360"/>
      </w:pPr>
      <w:r>
        <w:t>*VS Code*: Main script and database script environment configured with the MicroPico extension.</w:t>
      </w:r>
    </w:p>
    <w:p>
      <w:pPr>
        <w:spacing w:after="240"/>
        <w:jc w:val="center"/>
      </w:pPr>
      <w:r>
        <w:rPr>
          <w:color w:val="C8C8C8"/>
        </w:rPr>
        <w:t>____________________________________________________</w:t>
      </w:r>
    </w:p>
    <w:p>
      <w:pPr>
        <w:pStyle w:val="Heading3"/>
        <w:spacing w:before="120" w:after="80"/>
      </w:pPr>
      <w:r>
        <w:rPr>
          <w:rFonts w:ascii="Times New Roman" w:hAnsi="Times New Roman"/>
          <w:b/>
        </w:rPr>
        <w:t>3.5.3 CAD, Modeling, and Simulation Software</w:t>
      </w:r>
    </w:p>
    <w:p>
      <w:pPr>
        <w:spacing w:after="120" w:line="276" w:lineRule="auto"/>
      </w:pPr>
      <w:r>
        <w:t>Engineering software was used to design enclosures, lay out PCBs, and simulate operational environments:</w:t>
      </w:r>
    </w:p>
    <w:p>
      <w:pPr>
        <w:pStyle w:val="ListNumber"/>
        <w:spacing w:after="60"/>
        <w:ind w:left="360"/>
      </w:pPr>
      <w:r>
        <w:rPr>
          <w:b/>
        </w:rPr>
        <w:t>FreeCAD (v0.20+)</w:t>
      </w:r>
      <w:r>
        <w:t>: Open-source, parametric 3D computer-aided design software used to model weather-resistant, snap-fit enclosures for both the edge sensing nodes and the central orchestrator hub.</w:t>
      </w:r>
    </w:p>
    <w:p>
      <w:pPr>
        <w:pStyle w:val="ListNumber"/>
        <w:spacing w:after="60"/>
        <w:ind w:left="360"/>
      </w:pPr>
      <w:r>
        <w:rPr>
          <w:b/>
        </w:rPr>
        <w:t>KiCAD (v7.0+)</w:t>
      </w:r>
      <w:r>
        <w:t>: Schematic capture and PCB design suite utilized to lay out helper expansion boards and GPIO routing networks.</w:t>
      </w:r>
    </w:p>
    <w:p>
      <w:pPr>
        <w:pStyle w:val="ListNumber"/>
        <w:spacing w:after="60"/>
        <w:ind w:left="360"/>
      </w:pPr>
      <w:r>
        <w:rPr>
          <w:b/>
        </w:rPr>
        <w:t>Blender (v3.6+)</w:t>
      </w:r>
      <w:r>
        <w:t>: 3D computer graphics software utilized to construct spatial distributions and simulate sensor coverage fields of the Edge-Alert Security Gateway.</w:t>
      </w:r>
    </w:p>
    <w:p>
      <w:pPr>
        <w:pStyle w:val="ListNumber"/>
        <w:spacing w:after="60"/>
        <w:ind w:left="360"/>
      </w:pPr>
      <w:r>
        <w:rPr>
          <w:b/>
        </w:rPr>
        <w:t>Inkscape (v1.2+)</w:t>
      </w:r>
      <w:r>
        <w:t>: Vector graphics software used to draw low-level wiring diagrams and vector architectural maps.</w:t>
      </w:r>
    </w:p>
    <w:p>
      <w:pPr>
        <w:spacing w:after="240"/>
        <w:jc w:val="center"/>
      </w:pPr>
      <w:r>
        <w:rPr>
          <w:color w:val="C8C8C8"/>
        </w:rPr>
        <w:t>____________________________________________________</w:t>
      </w:r>
    </w:p>
    <w:p>
      <w:pPr>
        <w:pStyle w:val="Heading3"/>
        <w:spacing w:before="120" w:after="80"/>
      </w:pPr>
      <w:r>
        <w:rPr>
          <w:rFonts w:ascii="Times New Roman" w:hAnsi="Times New Roman"/>
          <w:b/>
        </w:rPr>
        <w:t>3.5.4 Mechanical Fabrication and Hardware Assembly</w:t>
      </w:r>
    </w:p>
    <w:p>
      <w:pPr>
        <w:spacing w:after="120" w:line="276" w:lineRule="auto"/>
      </w:pPr>
      <w:r>
        <w:t>Physical assembly and field preparation require mechanical accessories, connectors, and printing filaments:</w:t>
      </w:r>
    </w:p>
    <w:p>
      <w:pPr>
        <w:pStyle w:val="ListNumber"/>
        <w:spacing w:after="60"/>
        <w:ind w:left="360"/>
      </w:pPr>
      <w:r>
        <w:rPr>
          <w:b/>
        </w:rPr>
        <w:t>Interface Breakouts &amp; Headers</w:t>
      </w:r>
      <w:r>
        <w:t>:</w:t>
      </w:r>
    </w:p>
    <w:p>
      <w:pPr>
        <w:pStyle w:val="ListBullet"/>
        <w:spacing w:after="60"/>
        <w:ind w:left="360"/>
      </w:pPr>
      <w:r>
        <w:t>*Adafruit Terminal PiCowbell*: Terminal breakout boards (Product ID: 5904) that route all Pico W pins to spring-loaded screw terminals for solderless field installation.</w:t>
      </w:r>
    </w:p>
    <w:p>
      <w:pPr>
        <w:pStyle w:val="ListBullet"/>
        <w:spacing w:after="60"/>
        <w:ind w:left="360"/>
      </w:pPr>
      <w:r>
        <w:t>*2x20-Pin Female Socket Headers (Adafruit Product 5583)*: Soldered onto the PiCowbell boards.</w:t>
      </w:r>
    </w:p>
    <w:p>
      <w:pPr>
        <w:pStyle w:val="ListBullet"/>
        <w:spacing w:after="60"/>
        <w:ind w:left="360"/>
      </w:pPr>
      <w:r>
        <w:t>*2x20-Pin Male Short Plug Headers (Adafruit Product 5584)*: Soldered onto the Pico W microcontrollers.</w:t>
      </w:r>
    </w:p>
    <w:p>
      <w:pPr>
        <w:pStyle w:val="ListBullet"/>
        <w:spacing w:after="60"/>
        <w:ind w:left="360"/>
      </w:pPr>
      <w:r>
        <w:t>*2x20-Pin Female Short Socket Headers (Adafruit Product 5585)*: For low-profile stacking configurations.</w:t>
      </w:r>
    </w:p>
    <w:p>
      <w:pPr>
        <w:pStyle w:val="ListNumber"/>
        <w:spacing w:after="60"/>
        <w:ind w:left="360"/>
      </w:pPr>
      <w:r>
        <w:rPr>
          <w:b/>
        </w:rPr>
        <w:t>Assembly &amp; Wiring Materials</w:t>
      </w:r>
      <w:r>
        <w:t>:</w:t>
      </w:r>
    </w:p>
    <w:p>
      <w:pPr>
        <w:pStyle w:val="ListBullet"/>
        <w:spacing w:after="60"/>
        <w:ind w:left="360"/>
      </w:pPr>
      <w:r>
        <w:t>*Mini Solderless Breadboards*: Used for experimental circuit validation and early sensor testing.</w:t>
      </w:r>
    </w:p>
    <w:p>
      <w:pPr>
        <w:pStyle w:val="ListBullet"/>
        <w:spacing w:after="60"/>
        <w:ind w:left="360"/>
      </w:pPr>
      <w:r>
        <w:t>*Jumper Wires*: Multi-gauge male-to-male, male-to-female, and female-to-female jumper wires.</w:t>
      </w:r>
    </w:p>
    <w:p>
      <w:pPr>
        <w:pStyle w:val="ListBullet"/>
        <w:spacing w:after="60"/>
        <w:ind w:left="360"/>
      </w:pPr>
      <w:r>
        <w:t>*Soldering Station*: A temperature-controlled iron running lead-free solder for header assembly.</w:t>
      </w:r>
    </w:p>
    <w:p>
      <w:pPr>
        <w:pStyle w:val="ListNumber"/>
        <w:spacing w:after="60"/>
        <w:ind w:left="360"/>
      </w:pPr>
      <w:r>
        <w:rPr>
          <w:b/>
        </w:rPr>
        <w:t>Enclosure Fabrication</w:t>
      </w:r>
      <w:r>
        <w:t>:</w:t>
      </w:r>
    </w:p>
    <w:p>
      <w:pPr>
        <w:pStyle w:val="ListBullet"/>
        <w:spacing w:after="60"/>
        <w:ind w:left="360"/>
      </w:pPr>
      <w:r>
        <w:t>*3D Printing Filament*: PLA (Polylactic Acid) or PETG (Polyethylene Terephthalate Glycol) filaments used to extrude snap-fit weather-resistant enclosures. PLA is utilized for general prototyping, while PETG is selected for enclosures requiring higher UV resistance and outdoor structural durability.</w:t>
      </w:r>
    </w:p>
    <w:p>
      <w:pPr>
        <w:pStyle w:val="Heading2"/>
        <w:spacing w:before="240" w:after="120"/>
      </w:pPr>
      <w:r>
        <w:rPr>
          <w:rFonts w:ascii="Times New Roman" w:hAnsi="Times New Roman"/>
          <w:b/>
        </w:rPr>
        <w:t>3.6 Development Procedure</w:t>
      </w:r>
    </w:p>
    <w:p>
      <w:pPr>
        <w:spacing w:after="120" w:line="276" w:lineRule="auto"/>
      </w:pPr>
      <w:r>
        <w:t>The engineering workflow of the Modular Adaptive Data Node (MADN) was divided into five sequential phases: hardware assembly, software environment configuration, daemon development, machine learning optimization, and mechanical fabrication. This section delineates the step-by-step development procedure executed to construct the prototype.</w:t>
      </w:r>
    </w:p>
    <w:p>
      <w:pPr>
        <w:spacing w:after="240"/>
        <w:jc w:val="center"/>
      </w:pPr>
      <w:r>
        <w:rPr>
          <w:color w:val="C8C8C8"/>
        </w:rPr>
        <w:t>____________________________________________________</w:t>
      </w:r>
    </w:p>
    <w:p>
      <w:pPr>
        <w:pStyle w:val="Heading3"/>
        <w:spacing w:before="120" w:after="80"/>
      </w:pPr>
      <w:r>
        <w:rPr>
          <w:rFonts w:ascii="Times New Roman" w:hAnsi="Times New Roman"/>
          <w:b/>
        </w:rPr>
        <w:t>3.6.1 Hardware Assembly and Circuit Integration</w:t>
      </w:r>
    </w:p>
    <w:p>
      <w:pPr>
        <w:spacing w:after="120" w:line="276" w:lineRule="auto"/>
      </w:pPr>
      <w:r>
        <w:t>The hardware tier construction was divided between the edge node microcontrollers and the central orchestrator hub:</w:t>
      </w:r>
    </w:p>
    <w:p>
      <w:pPr>
        <w:pStyle w:val="ListNumber"/>
        <w:spacing w:after="60"/>
        <w:ind w:left="360"/>
      </w:pPr>
      <w:r>
        <w:rPr>
          <w:b/>
        </w:rPr>
        <w:t>Microcontroller Prep &amp; Stacking</w:t>
      </w:r>
      <w:r>
        <w:t>:</w:t>
      </w:r>
    </w:p>
    <w:p>
      <w:pPr>
        <w:pStyle w:val="ListBullet"/>
        <w:spacing w:after="60"/>
        <w:ind w:left="360"/>
      </w:pPr>
      <w:r>
        <w:t>Using a temperature-controlled soldering station set to 350°C, 2x20-pin male short plug headers (Adafruit Product 5584) were soldered directly to the Raspberry Pi Pico W GPIO rails, ensuring uniform pin vertical alignment.</w:t>
      </w:r>
    </w:p>
    <w:p>
      <w:pPr>
        <w:pStyle w:val="ListBullet"/>
        <w:spacing w:after="60"/>
        <w:ind w:left="360"/>
      </w:pPr>
      <w:r>
        <w:t>2x20-pin female socket headers (Adafruit Product 5583) were soldered onto the Adafruit Terminal PiCowbell (Product ID: 5904).</w:t>
      </w:r>
    </w:p>
    <w:p>
      <w:pPr>
        <w:pStyle w:val="ListBullet"/>
        <w:spacing w:after="60"/>
        <w:ind w:left="360"/>
      </w:pPr>
      <w:r>
        <w:t>The Pico W was stacked onto the PiCowbell by matching the male headers to the female socket headers, creating a stable mechanical joint and routing all pins to the spring-loaded screw terminals.</w:t>
      </w:r>
    </w:p>
    <w:p>
      <w:pPr>
        <w:pStyle w:val="ListNumber"/>
        <w:spacing w:after="60"/>
        <w:ind w:left="360"/>
      </w:pPr>
      <w:r>
        <w:rPr>
          <w:b/>
        </w:rPr>
        <w:t>Edge Telemetry and User Interface Wiring</w:t>
      </w:r>
      <w:r>
        <w:t>:</w:t>
      </w:r>
    </w:p>
    <w:p>
      <w:pPr>
        <w:pStyle w:val="ListBullet"/>
        <w:spacing w:after="60"/>
        <w:ind w:left="360"/>
      </w:pPr>
      <w:r>
        <w:t>The capacitive soil moisture sensor was connected via a three-wire cable to GP26 (ADC0), Ground, and the 3.3V OUT pin.</w:t>
      </w:r>
    </w:p>
    <w:p>
      <w:pPr>
        <w:pStyle w:val="ListBullet"/>
        <w:spacing w:after="60"/>
        <w:ind w:left="360"/>
      </w:pPr>
      <w:r>
        <w:t>The DHT22 sensor data pin was wired to GP15 with an external 4.7kΩ pull-up resistor connected to 3.3V to prevent signal floating.</w:t>
      </w:r>
    </w:p>
    <w:p>
      <w:pPr>
        <w:pStyle w:val="ListBullet"/>
        <w:spacing w:after="60"/>
        <w:ind w:left="360"/>
      </w:pPr>
      <w:r>
        <w:t>The HC-SR501 PIR sensor signal pin was routed to GP14, and powered from the boosted 5V VBUS rail.</w:t>
      </w:r>
    </w:p>
    <w:p>
      <w:pPr>
        <w:pStyle w:val="ListBullet"/>
        <w:spacing w:after="60"/>
        <w:ind w:left="360"/>
      </w:pPr>
      <w:r>
        <w:t>The HC-SR04 ultrasonic sensor was connected with the trigger pin to GP16 and the echo pin to GP17, powered by the 5V VBUS rail.</w:t>
      </w:r>
    </w:p>
    <w:p>
      <w:pPr>
        <w:pStyle w:val="ListBullet"/>
        <w:spacing w:after="60"/>
        <w:ind w:left="360"/>
      </w:pPr>
      <w:r>
        <w:t>The ST7735 SPI TFT display SPI lines (SCK, MOSI, CS, DC, RESET) were wired to GP18, GP19, GP20, GP21, and GP22 respectively.</w:t>
      </w:r>
    </w:p>
    <w:p>
      <w:pPr>
        <w:pStyle w:val="ListBullet"/>
        <w:spacing w:after="60"/>
        <w:ind w:left="360"/>
      </w:pPr>
      <w:r>
        <w:t>Three tactile push-buttons were wired between GP10, GP11, GP12, and local Ground pins.</w:t>
      </w:r>
    </w:p>
    <w:p>
      <w:pPr>
        <w:pStyle w:val="ListNumber"/>
        <w:spacing w:after="60"/>
        <w:ind w:left="360"/>
      </w:pPr>
      <w:r>
        <w:rPr>
          <w:b/>
        </w:rPr>
        <w:t>Power Delivery Integration</w:t>
      </w:r>
      <w:r>
        <w:t>:</w:t>
      </w:r>
    </w:p>
    <w:p>
      <w:pPr>
        <w:pStyle w:val="ListBullet"/>
        <w:spacing w:after="60"/>
        <w:ind w:left="360"/>
      </w:pPr>
      <w:r>
        <w:t>A TP4056 charger and step-up protection module was connected to a 3.7V 18650 Li-Ion cell.</w:t>
      </w:r>
    </w:p>
    <w:p>
      <w:pPr>
        <w:pStyle w:val="ListBullet"/>
        <w:spacing w:after="60"/>
        <w:ind w:left="360"/>
      </w:pPr>
      <w:r>
        <w:t>The boosted 5V output terminals of the TP4056 board were routed via a JST-PH 2.0 connector directly to the Pico W VBUS (Pin 40) and Ground pins to power the microcontroller and 5V sensors.</w:t>
      </w:r>
    </w:p>
    <w:p>
      <w:pPr>
        <w:pStyle w:val="ListNumber"/>
        <w:spacing w:after="60"/>
        <w:ind w:left="360"/>
      </w:pPr>
      <w:r>
        <w:rPr>
          <w:b/>
        </w:rPr>
        <w:t>Central Vault Hub Setup</w:t>
      </w:r>
      <w:r>
        <w:t>:</w:t>
      </w:r>
    </w:p>
    <w:p>
      <w:pPr>
        <w:pStyle w:val="ListBullet"/>
        <w:spacing w:after="60"/>
        <w:ind w:left="360"/>
      </w:pPr>
      <w:r>
        <w:t>The active cooling dual-fan shield was mounted onto the Raspberry Pi 4 CPU and SoC blocks.</w:t>
      </w:r>
    </w:p>
    <w:p>
      <w:pPr>
        <w:pStyle w:val="ListBullet"/>
        <w:spacing w:after="60"/>
        <w:ind w:left="360"/>
      </w:pPr>
      <w:r>
        <w:t>The low-power portable projector was connected to the Pi 4's HDMI output port for display projection, while the active cooling fan was connected to the GPIO power pins.</w:t>
      </w:r>
    </w:p>
    <w:p>
      <w:pPr>
        <w:pStyle w:val="ListBullet"/>
        <w:spacing w:after="60"/>
        <w:ind w:left="360"/>
      </w:pPr>
      <w:r>
        <w:t>A standard 5V USB-C power supply (PSU) was connected to the USB-C port of the Pi 4. A portable 5V USB power bank was prepared as a swappable alternative during grid failures.</w:t>
      </w:r>
    </w:p>
    <w:p>
      <w:pPr>
        <w:spacing w:after="240"/>
        <w:jc w:val="center"/>
      </w:pPr>
      <w:r>
        <w:rPr>
          <w:color w:val="C8C8C8"/>
        </w:rPr>
        <w:t>____________________________________________________</w:t>
      </w:r>
    </w:p>
    <w:p>
      <w:pPr>
        <w:pStyle w:val="Heading3"/>
        <w:spacing w:before="120" w:after="80"/>
      </w:pPr>
      <w:r>
        <w:rPr>
          <w:rFonts w:ascii="Times New Roman" w:hAnsi="Times New Roman"/>
          <w:b/>
        </w:rPr>
        <w:t>3.6.2 Software Stack and Local Environment Configuration</w:t>
      </w:r>
    </w:p>
    <w:p>
      <w:pPr>
        <w:spacing w:after="120" w:line="276" w:lineRule="auto"/>
      </w:pPr>
      <w:r>
        <w:t>The software deployment involved flashing edge devices, installing the server OS, and setting up offline local databases:</w:t>
      </w:r>
    </w:p>
    <w:p>
      <w:pPr>
        <w:pStyle w:val="ListNumber"/>
        <w:spacing w:after="60"/>
        <w:ind w:left="360"/>
      </w:pPr>
      <w:r>
        <w:rPr>
          <w:b/>
        </w:rPr>
        <w:t>Edge Node Firmware Deployment</w:t>
      </w:r>
      <w:r>
        <w:t>:</w:t>
      </w:r>
    </w:p>
    <w:p>
      <w:pPr>
        <w:pStyle w:val="ListBullet"/>
        <w:spacing w:after="60"/>
        <w:ind w:left="360"/>
      </w:pPr>
      <w:r>
        <w:t>The Pico W was booted in USB-mass-storage mode (holding the BOOTSEL button while plugging it into a PC).</w:t>
      </w:r>
    </w:p>
    <w:p>
      <w:pPr>
        <w:pStyle w:val="ListBullet"/>
        <w:spacing w:after="60"/>
        <w:ind w:left="360"/>
      </w:pPr>
      <w:r>
        <w:t xml:space="preserve">The stable MicroPython </w:t>
      </w:r>
      <w:r>
        <w:rPr>
          <w:rFonts w:ascii="Consolas" w:hAnsi="Consolas"/>
          <w:color w:val="B42828"/>
          <w:sz w:val="19"/>
        </w:rPr>
        <w:t>.uf2</w:t>
      </w:r>
      <w:r>
        <w:t xml:space="preserve"> firmware file (v1.20 or later) was dragged and dropped onto the volume to flash the microcontroller.</w:t>
      </w:r>
    </w:p>
    <w:p>
      <w:pPr>
        <w:pStyle w:val="ListNumber"/>
        <w:spacing w:after="60"/>
        <w:ind w:left="360"/>
      </w:pPr>
      <w:r>
        <w:rPr>
          <w:b/>
        </w:rPr>
        <w:t>Central Hub Operating System Installation</w:t>
      </w:r>
      <w:r>
        <w:t>:</w:t>
      </w:r>
    </w:p>
    <w:p>
      <w:pPr>
        <w:pStyle w:val="ListBullet"/>
        <w:spacing w:after="60"/>
        <w:ind w:left="360"/>
      </w:pPr>
      <w:r>
        <w:t>The headless minimal ARM64 image of Kali Linux was flashed to the 128GB High-Endurance MicroSD card using the Raspberry Pi Imager utility on an external PC.</w:t>
      </w:r>
    </w:p>
    <w:p>
      <w:pPr>
        <w:pStyle w:val="ListBullet"/>
        <w:spacing w:after="60"/>
        <w:ind w:left="360"/>
      </w:pPr>
      <w:r>
        <w:t>The card was inserted into the Raspberry Pi 4, which was booted into a command-line interface. SSH keys and local user accounts were configured over a temporary Ethernet connection.</w:t>
      </w:r>
    </w:p>
    <w:p>
      <w:pPr>
        <w:pStyle w:val="ListNumber"/>
        <w:spacing w:after="60"/>
        <w:ind w:left="360"/>
      </w:pPr>
      <w:r>
        <w:rPr>
          <w:b/>
        </w:rPr>
        <w:t>Offline Access Point and Broker Configuration</w:t>
      </w:r>
      <w:r>
        <w:t>:</w:t>
      </w:r>
    </w:p>
    <w:p>
      <w:pPr>
        <w:pStyle w:val="ListBullet"/>
        <w:spacing w:after="60"/>
        <w:ind w:left="360"/>
      </w:pPr>
      <w:r>
        <w:rPr>
          <w:rFonts w:ascii="Consolas" w:hAnsi="Consolas"/>
          <w:color w:val="B42828"/>
          <w:sz w:val="19"/>
        </w:rPr>
        <w:t>hostapd</w:t>
      </w:r>
      <w:r>
        <w:t xml:space="preserve"> and </w:t>
      </w:r>
      <w:r>
        <w:rPr>
          <w:rFonts w:ascii="Consolas" w:hAnsi="Consolas"/>
          <w:color w:val="B42828"/>
          <w:sz w:val="19"/>
        </w:rPr>
        <w:t>dnsmasq</w:t>
      </w:r>
      <w:r>
        <w:t xml:space="preserve"> packages were installed and configured on the Pi 4. The wireless interface (</w:t>
      </w:r>
      <w:r>
        <w:rPr>
          <w:rFonts w:ascii="Consolas" w:hAnsi="Consolas"/>
          <w:color w:val="B42828"/>
          <w:sz w:val="19"/>
        </w:rPr>
        <w:t>wlan0</w:t>
      </w:r>
      <w:r>
        <w:t>) was assigned a static local IP address (</w:t>
      </w:r>
      <w:r>
        <w:rPr>
          <w:rFonts w:ascii="Consolas" w:hAnsi="Consolas"/>
          <w:color w:val="B42828"/>
          <w:sz w:val="19"/>
        </w:rPr>
        <w:t>192.168.4.1</w:t>
      </w:r>
      <w:r>
        <w:t xml:space="preserve">) and configured to project a local Wi-Fi Access Point (SSID: </w:t>
      </w:r>
      <w:r>
        <w:rPr>
          <w:rFonts w:ascii="Consolas" w:hAnsi="Consolas"/>
          <w:color w:val="B42828"/>
          <w:sz w:val="19"/>
        </w:rPr>
        <w:t>MADN-Vault-Local</w:t>
      </w:r>
      <w:r>
        <w:t xml:space="preserve">) with DHCP leasing IPs from </w:t>
      </w:r>
      <w:r>
        <w:rPr>
          <w:rFonts w:ascii="Consolas" w:hAnsi="Consolas"/>
          <w:color w:val="B42828"/>
          <w:sz w:val="19"/>
        </w:rPr>
        <w:t>192.168.4.10</w:t>
      </w:r>
      <w:r>
        <w:t xml:space="preserve"> to </w:t>
      </w:r>
      <w:r>
        <w:rPr>
          <w:rFonts w:ascii="Consolas" w:hAnsi="Consolas"/>
          <w:color w:val="B42828"/>
          <w:sz w:val="19"/>
        </w:rPr>
        <w:t>192.168.4.150</w:t>
      </w:r>
      <w:r>
        <w:t>.</w:t>
      </w:r>
    </w:p>
    <w:p>
      <w:pPr>
        <w:pStyle w:val="ListBullet"/>
        <w:spacing w:after="60"/>
        <w:ind w:left="360"/>
      </w:pPr>
      <w:r>
        <w:t xml:space="preserve">The Mosquitto MQTT broker was installed on the Pi 4. The configuration file was set to allow anonymous connections on port </w:t>
      </w:r>
      <w:r>
        <w:rPr>
          <w:rFonts w:ascii="Consolas" w:hAnsi="Consolas"/>
          <w:color w:val="B42828"/>
          <w:sz w:val="19"/>
        </w:rPr>
        <w:t>1883</w:t>
      </w:r>
      <w:r>
        <w:t xml:space="preserve"> over the local subnet.</w:t>
      </w:r>
    </w:p>
    <w:p>
      <w:pPr>
        <w:pStyle w:val="ListNumber"/>
        <w:spacing w:after="60"/>
        <w:ind w:left="360"/>
      </w:pPr>
      <w:r>
        <w:rPr>
          <w:b/>
        </w:rPr>
        <w:t>Local Databases and Visualization Services</w:t>
      </w:r>
      <w:r>
        <w:t>:</w:t>
      </w:r>
    </w:p>
    <w:p>
      <w:pPr>
        <w:pStyle w:val="ListBullet"/>
        <w:spacing w:after="60"/>
        <w:ind w:left="360"/>
      </w:pPr>
      <w:r>
        <w:t xml:space="preserve">InfluxDB (v2.x) was installed on the Pi 4. An initial bucket named </w:t>
      </w:r>
      <w:r>
        <w:rPr>
          <w:rFonts w:ascii="Consolas" w:hAnsi="Consolas"/>
          <w:color w:val="B42828"/>
          <w:sz w:val="19"/>
        </w:rPr>
        <w:t>MADN_Telemetry</w:t>
      </w:r>
      <w:r>
        <w:t xml:space="preserve"> was initialized with default retention policies set to prevent excessive storage expansion.</w:t>
      </w:r>
    </w:p>
    <w:p>
      <w:pPr>
        <w:pStyle w:val="ListBullet"/>
        <w:spacing w:after="60"/>
        <w:ind w:left="360"/>
      </w:pPr>
      <w:r>
        <w:t>SQLite was installed to store local transactions.</w:t>
      </w:r>
    </w:p>
    <w:p>
      <w:pPr>
        <w:pStyle w:val="ListBullet"/>
        <w:spacing w:after="60"/>
        <w:ind w:left="360"/>
      </w:pPr>
      <w:r>
        <w:t>Grafana was installed, added InfluxDB as a data source via Flux query integration, and configured to autostart on system boot.</w:t>
      </w:r>
    </w:p>
    <w:p>
      <w:pPr>
        <w:spacing w:after="240"/>
        <w:jc w:val="center"/>
      </w:pPr>
      <w:r>
        <w:rPr>
          <w:color w:val="C8C8C8"/>
        </w:rPr>
        <w:t>____________________________________________________</w:t>
      </w:r>
    </w:p>
    <w:p>
      <w:pPr>
        <w:pStyle w:val="Heading3"/>
        <w:spacing w:before="120" w:after="80"/>
      </w:pPr>
      <w:r>
        <w:rPr>
          <w:rFonts w:ascii="Times New Roman" w:hAnsi="Times New Roman"/>
          <w:b/>
        </w:rPr>
        <w:t>3.6.3 Embedded Scripting and Backend Daemon Scripting</w:t>
      </w:r>
    </w:p>
    <w:p>
      <w:pPr>
        <w:spacing w:after="120" w:line="276" w:lineRule="auto"/>
      </w:pPr>
      <w:r>
        <w:t>Custom scripts were written to run continuously as headless daemons on the central hub and as sensor sampling routines on the edge nodes:</w:t>
      </w:r>
    </w:p>
    <w:p>
      <w:pPr>
        <w:pStyle w:val="ListNumber"/>
        <w:spacing w:after="60"/>
        <w:ind w:left="360"/>
      </w:pPr>
      <w:r>
        <w:rPr>
          <w:b/>
        </w:rPr>
        <w:t>MicroPython Logic (Edge Node)</w:t>
      </w:r>
      <w:r>
        <w:t>:</w:t>
      </w:r>
    </w:p>
    <w:p>
      <w:pPr>
        <w:pStyle w:val="ListBullet"/>
        <w:spacing w:after="60"/>
        <w:ind w:left="360"/>
      </w:pPr>
      <w:r>
        <w:t>A custom script (</w:t>
      </w:r>
      <w:r>
        <w:rPr>
          <w:rFonts w:ascii="Consolas" w:hAnsi="Consolas"/>
          <w:color w:val="B42828"/>
          <w:sz w:val="19"/>
        </w:rPr>
        <w:t>main.py</w:t>
      </w:r>
      <w:r>
        <w:t xml:space="preserve">) was written to run on boot. The script utilizes the </w:t>
      </w:r>
      <w:r>
        <w:rPr>
          <w:rFonts w:ascii="Consolas" w:hAnsi="Consolas"/>
          <w:color w:val="B42828"/>
          <w:sz w:val="19"/>
        </w:rPr>
        <w:t>network</w:t>
      </w:r>
      <w:r>
        <w:t xml:space="preserve"> library to establish connection to the </w:t>
      </w:r>
      <w:r>
        <w:rPr>
          <w:rFonts w:ascii="Consolas" w:hAnsi="Consolas"/>
          <w:color w:val="B42828"/>
          <w:sz w:val="19"/>
        </w:rPr>
        <w:t>MADN-Vault-Local</w:t>
      </w:r>
      <w:r>
        <w:t xml:space="preserve"> Wi-Fi AP.</w:t>
      </w:r>
    </w:p>
    <w:p>
      <w:pPr>
        <w:pStyle w:val="ListBullet"/>
        <w:spacing w:after="60"/>
        <w:ind w:left="360"/>
      </w:pPr>
      <w:r>
        <w:t>Inside the main execution loop, GP26 is polled to read soil moisture voltage, and the DHT22 library is called to poll temperature and humidity. An arithmetic moving-average filter of 5 samples is applied to the values.</w:t>
      </w:r>
    </w:p>
    <w:p>
      <w:pPr>
        <w:pStyle w:val="ListBullet"/>
        <w:spacing w:after="60"/>
        <w:ind w:left="360"/>
      </w:pPr>
      <w:r>
        <w:t xml:space="preserve">The filtered values are formatted into a JSON payload and published to the Mosquitto broker via the </w:t>
      </w:r>
      <w:r>
        <w:rPr>
          <w:rFonts w:ascii="Consolas" w:hAnsi="Consolas"/>
          <w:color w:val="B42828"/>
          <w:sz w:val="19"/>
        </w:rPr>
        <w:t>umqtt.simple</w:t>
      </w:r>
      <w:r>
        <w:t xml:space="preserve"> package under the topic </w:t>
      </w:r>
      <w:r>
        <w:rPr>
          <w:rFonts w:ascii="Consolas" w:hAnsi="Consolas"/>
          <w:color w:val="B42828"/>
          <w:sz w:val="19"/>
        </w:rPr>
        <w:t>madn/node1/telemetry</w:t>
      </w:r>
      <w:r>
        <w:t>.</w:t>
      </w:r>
    </w:p>
    <w:p>
      <w:pPr>
        <w:pStyle w:val="ListBullet"/>
        <w:spacing w:after="60"/>
        <w:ind w:left="360"/>
      </w:pPr>
      <w:r>
        <w:t>The ST7735 driver is utilized to print moisture and temperature stats directly to the local edge display.</w:t>
      </w:r>
    </w:p>
    <w:p>
      <w:pPr>
        <w:pStyle w:val="ListBullet"/>
        <w:spacing w:after="60"/>
        <w:ind w:left="360"/>
      </w:pPr>
      <w:r>
        <w:t xml:space="preserve">Digital interrupt lines are bound to GP14 (PIR) and GP16/17 (Ultrasonic). Trigger events immediately dispatch high-priority JSON payloads to the topic </w:t>
      </w:r>
      <w:r>
        <w:rPr>
          <w:rFonts w:ascii="Consolas" w:hAnsi="Consolas"/>
          <w:color w:val="B42828"/>
          <w:sz w:val="19"/>
        </w:rPr>
        <w:t>madn/node1/security</w:t>
      </w:r>
      <w:r>
        <w:t>.</w:t>
      </w:r>
    </w:p>
    <w:p>
      <w:pPr>
        <w:pStyle w:val="ListNumber"/>
        <w:spacing w:after="60"/>
        <w:ind w:left="360"/>
      </w:pPr>
      <w:r>
        <w:rPr>
          <w:b/>
        </w:rPr>
        <w:t>Security Event Daemon (Pi 4 Hub)</w:t>
      </w:r>
      <w:r>
        <w:t>:</w:t>
      </w:r>
    </w:p>
    <w:p>
      <w:pPr>
        <w:pStyle w:val="ListBullet"/>
        <w:spacing w:after="60"/>
        <w:ind w:left="360"/>
      </w:pPr>
      <w:r>
        <w:t xml:space="preserve">A Python daemon script was written to subscribe to </w:t>
      </w:r>
      <w:r>
        <w:rPr>
          <w:rFonts w:ascii="Consolas" w:hAnsi="Consolas"/>
          <w:color w:val="B42828"/>
          <w:sz w:val="19"/>
        </w:rPr>
        <w:t>madn/+/security</w:t>
      </w:r>
      <w:r>
        <w:t>. When a trigger payload is intercepted, the daemon appends the timestamp, node ID, and status to the SQLite database ledger and updates a local alerts status file.</w:t>
      </w:r>
    </w:p>
    <w:p>
      <w:pPr>
        <w:pStyle w:val="ListNumber"/>
        <w:spacing w:after="60"/>
        <w:ind w:left="360"/>
      </w:pPr>
      <w:r>
        <w:rPr>
          <w:b/>
        </w:rPr>
        <w:t>Commerce POS Daemon (Pi 4 Hub)</w:t>
      </w:r>
      <w:r>
        <w:t>:</w:t>
      </w:r>
    </w:p>
    <w:p>
      <w:pPr>
        <w:pStyle w:val="ListBullet"/>
        <w:spacing w:after="60"/>
        <w:ind w:left="360"/>
      </w:pPr>
      <w:r>
        <w:t>A Python SocketServer was scripted to open an RFCOMM socket port (Channel 1) on the local Bluetooth stack (</w:t>
      </w:r>
      <w:r>
        <w:rPr>
          <w:rFonts w:ascii="Consolas" w:hAnsi="Consolas"/>
          <w:color w:val="B42828"/>
          <w:sz w:val="19"/>
        </w:rPr>
        <w:t>hciconfig hci0 up</w:t>
      </w:r>
      <w:r>
        <w:t xml:space="preserve">) and a WebSocket port on port </w:t>
      </w:r>
      <w:r>
        <w:rPr>
          <w:rFonts w:ascii="Consolas" w:hAnsi="Consolas"/>
          <w:color w:val="B42828"/>
          <w:sz w:val="19"/>
        </w:rPr>
        <w:t>8080</w:t>
      </w:r>
      <w:r>
        <w:t>.</w:t>
      </w:r>
    </w:p>
    <w:p>
      <w:pPr>
        <w:pStyle w:val="ListBullet"/>
        <w:spacing w:after="60"/>
        <w:ind w:left="360"/>
      </w:pPr>
      <w:r>
        <w:t>The server listens for JSON checkout payloads containing merchant ID, customer token details, and totals. It queries the local SQLite transaction database to validate balances and commits transaction logs locally using ACID transaction locks.</w:t>
      </w:r>
    </w:p>
    <w:p>
      <w:pPr>
        <w:spacing w:after="240"/>
        <w:jc w:val="center"/>
      </w:pPr>
      <w:r>
        <w:rPr>
          <w:color w:val="C8C8C8"/>
        </w:rPr>
        <w:t>____________________________________________________</w:t>
      </w:r>
    </w:p>
    <w:p>
      <w:pPr>
        <w:pStyle w:val="Heading3"/>
        <w:spacing w:before="120" w:after="80"/>
      </w:pPr>
      <w:r>
        <w:rPr>
          <w:rFonts w:ascii="Times New Roman" w:hAnsi="Times New Roman"/>
          <w:b/>
        </w:rPr>
        <w:t>3.6.4 Predictive Modeling and TensorFlow Lite Quantization</w:t>
      </w:r>
    </w:p>
    <w:p>
      <w:pPr>
        <w:spacing w:after="120" w:line="276" w:lineRule="auto"/>
      </w:pPr>
      <w:r>
        <w:t>To enable the local-first determination of watering requirements without cloud dependencies, a localized machine learning workflow was established:</w:t>
      </w:r>
    </w:p>
    <w:p>
      <w:pPr>
        <w:pStyle w:val="ListNumber"/>
        <w:spacing w:after="60"/>
        <w:ind w:left="360"/>
      </w:pPr>
      <w:r>
        <w:rPr>
          <w:b/>
        </w:rPr>
        <w:t>Data Collection and Model Training</w:t>
      </w:r>
      <w:r>
        <w:t>:</w:t>
      </w:r>
    </w:p>
    <w:p>
      <w:pPr>
        <w:pStyle w:val="ListBullet"/>
        <w:spacing w:after="60"/>
        <w:ind w:left="360"/>
      </w:pPr>
      <w:r>
        <w:t>A training dataset was compiled containing DHT22 climate parameters (ambient temperature, relative humidity) and capacitive soil moisture values, paired with binary labels indicating whether irrigation was required (1) or not (0).</w:t>
      </w:r>
    </w:p>
    <w:p>
      <w:pPr>
        <w:pStyle w:val="ListBullet"/>
        <w:spacing w:after="60"/>
        <w:ind w:left="360"/>
      </w:pPr>
      <w:r>
        <w:t>A dense feed-forward neural network was built in TensorFlow/Keras on a workstation, consisting of an input layer (3 features: soil moisture, temperature, humidity), two hidden layers (16 and 8 units with ReLU activation), and a single sigmoid output layer. The model was trained using binary cross-entropy loss.</w:t>
      </w:r>
    </w:p>
    <w:p>
      <w:pPr>
        <w:pStyle w:val="ListNumber"/>
        <w:spacing w:after="60"/>
        <w:ind w:left="360"/>
      </w:pPr>
      <w:r>
        <w:rPr>
          <w:b/>
        </w:rPr>
        <w:t>Quantization and FlatBuffer Conversion</w:t>
      </w:r>
      <w:r>
        <w:t>:</w:t>
      </w:r>
    </w:p>
    <w:p>
      <w:pPr>
        <w:pStyle w:val="ListBullet"/>
        <w:spacing w:after="60"/>
        <w:ind w:left="360"/>
      </w:pPr>
      <w:r>
        <w:t>To fit the processing limits of the Pi 4 and reduce runtime overhead, the Keras model (</w:t>
      </w:r>
      <w:r>
        <w:rPr>
          <w:rFonts w:ascii="Consolas" w:hAnsi="Consolas"/>
          <w:color w:val="B42828"/>
          <w:sz w:val="19"/>
        </w:rPr>
        <w:t>.h5</w:t>
      </w:r>
      <w:r>
        <w:t>) was converted using the TensorFlow Lite Converter.</w:t>
      </w:r>
    </w:p>
    <w:p>
      <w:pPr>
        <w:pStyle w:val="ListBullet"/>
        <w:spacing w:after="60"/>
        <w:ind w:left="360"/>
      </w:pPr>
      <w:r>
        <w:t>Post-training dynamic range quantization was applied to compress the model weights from floating-point values to 8-bit integers, reducing the final file size to less than 15KB.</w:t>
      </w:r>
    </w:p>
    <w:p>
      <w:pPr>
        <w:pStyle w:val="ListBullet"/>
        <w:spacing w:after="60"/>
        <w:ind w:left="360"/>
      </w:pPr>
      <w:r>
        <w:t>The quantized model was saved as a FlatBuffer binary file (</w:t>
      </w:r>
      <w:r>
        <w:rPr>
          <w:rFonts w:ascii="Consolas" w:hAnsi="Consolas"/>
          <w:color w:val="B42828"/>
          <w:sz w:val="19"/>
        </w:rPr>
        <w:t>watering_model.tflite</w:t>
      </w:r>
      <w:r>
        <w:t>).</w:t>
      </w:r>
    </w:p>
    <w:p>
      <w:pPr>
        <w:pStyle w:val="ListNumber"/>
        <w:spacing w:after="60"/>
        <w:ind w:left="360"/>
      </w:pPr>
      <w:r>
        <w:rPr>
          <w:b/>
        </w:rPr>
        <w:t>Local Inference Integration</w:t>
      </w:r>
      <w:r>
        <w:t>:</w:t>
      </w:r>
    </w:p>
    <w:p>
      <w:pPr>
        <w:pStyle w:val="ListBullet"/>
        <w:spacing w:after="60"/>
        <w:ind w:left="360"/>
      </w:pPr>
      <w:r>
        <w:t>The flatbuffer model was copied onto the Pi 4.</w:t>
      </w:r>
    </w:p>
    <w:p>
      <w:pPr>
        <w:pStyle w:val="ListBullet"/>
        <w:spacing w:after="60"/>
        <w:ind w:left="360"/>
      </w:pPr>
      <w:r>
        <w:t xml:space="preserve">A scheduler script on the Pi 4 initializes the TensorFlow Lite Interpreter runtime, loads </w:t>
      </w:r>
      <w:r>
        <w:rPr>
          <w:rFonts w:ascii="Consolas" w:hAnsi="Consolas"/>
          <w:color w:val="B42828"/>
          <w:sz w:val="19"/>
        </w:rPr>
        <w:t>watering_model.tflite</w:t>
      </w:r>
      <w:r>
        <w:t>, allocates tensors, and executes inferences on the latest cached InfluxDB telemetry data to write prediction labels back to the time-series database.</w:t>
      </w:r>
    </w:p>
    <w:p>
      <w:pPr>
        <w:spacing w:after="240"/>
        <w:jc w:val="center"/>
      </w:pPr>
      <w:r>
        <w:rPr>
          <w:color w:val="C8C8C8"/>
        </w:rPr>
        <w:t>____________________________________________________</w:t>
      </w:r>
    </w:p>
    <w:p>
      <w:pPr>
        <w:pStyle w:val="Heading3"/>
        <w:spacing w:before="120" w:after="80"/>
      </w:pPr>
      <w:r>
        <w:rPr>
          <w:rFonts w:ascii="Times New Roman" w:hAnsi="Times New Roman"/>
          <w:b/>
        </w:rPr>
        <w:t>3.6.5 Parametric Modeling and Mechanical Fabrication</w:t>
      </w:r>
    </w:p>
    <w:p>
      <w:pPr>
        <w:spacing w:after="120" w:line="276" w:lineRule="auto"/>
      </w:pPr>
      <w:r>
        <w:t>Custom mechanical protection was modeled and fabricated to secure the prototype against dust and moisture:</w:t>
      </w:r>
    </w:p>
    <w:p>
      <w:pPr>
        <w:pStyle w:val="ListNumber"/>
        <w:spacing w:after="60"/>
        <w:ind w:left="360"/>
      </w:pPr>
      <w:r>
        <w:rPr>
          <w:b/>
        </w:rPr>
        <w:t>Parametric 3D CAD Modeling</w:t>
      </w:r>
      <w:r>
        <w:t>:</w:t>
      </w:r>
    </w:p>
    <w:p>
      <w:pPr>
        <w:pStyle w:val="ListBullet"/>
        <w:spacing w:after="60"/>
        <w:ind w:left="360"/>
      </w:pPr>
      <w:r>
        <w:t>Using FreeCAD (v0.20+), parameter sheets were defined containing clearances for the Raspberry Pi Pico W, the stacked PiCowbell breakout terminal, the TP4056 module, and the 18650 cell.</w:t>
      </w:r>
    </w:p>
    <w:p>
      <w:pPr>
        <w:pStyle w:val="ListBullet"/>
        <w:spacing w:after="60"/>
        <w:ind w:left="360"/>
      </w:pPr>
      <w:r>
        <w:t>A snap-fit weatherproof enclosure casing was designed, featuring interlocking mating lips to achieve an IP65 protection rating, internal mounting standoffs, and ventilation ducts aligned with active fan exhaust pathways.</w:t>
      </w:r>
    </w:p>
    <w:p>
      <w:pPr>
        <w:pStyle w:val="ListNumber"/>
        <w:spacing w:after="60"/>
        <w:ind w:left="360"/>
      </w:pPr>
      <w:r>
        <w:rPr>
          <w:b/>
        </w:rPr>
        <w:t>Slicing and G-code Export</w:t>
      </w:r>
      <w:r>
        <w:t>:</w:t>
      </w:r>
    </w:p>
    <w:p>
      <w:pPr>
        <w:pStyle w:val="ListBullet"/>
        <w:spacing w:after="60"/>
        <w:ind w:left="360"/>
      </w:pPr>
      <w:r>
        <w:t>The 3D model designs were exported as STL files and imported into an open-source slicing software tool (PrusaSlicer).</w:t>
      </w:r>
    </w:p>
    <w:p>
      <w:pPr>
        <w:pStyle w:val="ListBullet"/>
        <w:spacing w:after="60"/>
        <w:ind w:left="360"/>
      </w:pPr>
      <w:r>
        <w:t>Slicing parameters were configured: layer height of 0.2mm, infill density of 20% with a gyroid pattern for structural integrity, and 3 shell perimeters to enhance waterproof properties.</w:t>
      </w:r>
    </w:p>
    <w:p>
      <w:pPr>
        <w:pStyle w:val="ListNumber"/>
        <w:spacing w:after="60"/>
        <w:ind w:left="360"/>
      </w:pPr>
      <w:r>
        <w:rPr>
          <w:b/>
        </w:rPr>
        <w:t>Extrusion Printing</w:t>
      </w:r>
      <w:r>
        <w:t>:</w:t>
      </w:r>
    </w:p>
    <w:p>
      <w:pPr>
        <w:pStyle w:val="ListBullet"/>
        <w:spacing w:after="60"/>
        <w:ind w:left="360"/>
      </w:pPr>
      <w:r>
        <w:t>PETG (Polyethylene Terephthalate Glycol) filament was loaded into a 3D printer. The nozzle was heated to 240°C and the print bed to 80°C.</w:t>
      </w:r>
    </w:p>
    <w:p>
      <w:pPr>
        <w:pStyle w:val="ListBullet"/>
        <w:spacing w:after="60"/>
        <w:ind w:left="360"/>
      </w:pPr>
      <w:r>
        <w:t>The enclosures were extruded, cooled, and post-processed by clearing support interfaces, after which the hardware shields and microcontroller boards were mounted inside.</w:t>
      </w:r>
    </w:p>
    <w:p>
      <w:pPr>
        <w:pStyle w:val="Heading2"/>
        <w:spacing w:before="240" w:after="120"/>
      </w:pPr>
      <w:r>
        <w:rPr>
          <w:rFonts w:ascii="Times New Roman" w:hAnsi="Times New Roman"/>
          <w:b/>
        </w:rPr>
        <w:t>3.7 Testing Methods</w:t>
      </w:r>
    </w:p>
    <w:p>
      <w:pPr>
        <w:spacing w:after="120" w:line="276" w:lineRule="auto"/>
      </w:pPr>
      <w:r>
        <w:t>To systematically evaluate the performance, reliability, and resiliency of the Modular Adaptive Data Node (MADN) prototype under simulated and real-world conditions representative of Bulawayo and Tsholotsho, a series of rigorous testing methods were established. These testing protocols target the sensor data accuracy, inference latency, alert transmission speeds, database write transaction integrity, offline wireless communication limits, and power consumption profiles.</w:t>
      </w:r>
    </w:p>
    <w:p>
      <w:pPr>
        <w:spacing w:after="240"/>
        <w:jc w:val="center"/>
      </w:pPr>
      <w:r>
        <w:rPr>
          <w:color w:val="C8C8C8"/>
        </w:rPr>
        <w:t>____________________________________________________</w:t>
      </w:r>
    </w:p>
    <w:p>
      <w:pPr>
        <w:pStyle w:val="Heading3"/>
        <w:spacing w:before="120" w:after="80"/>
      </w:pPr>
      <w:r>
        <w:rPr>
          <w:rFonts w:ascii="Times New Roman" w:hAnsi="Times New Roman"/>
          <w:b/>
        </w:rPr>
        <w:t>3.7.1 Telemetry Verification and Inference Latency Testing</w:t>
      </w:r>
    </w:p>
    <w:p>
      <w:pPr>
        <w:spacing w:after="120" w:line="276" w:lineRule="auto"/>
      </w:pPr>
      <w:r>
        <w:t>The validation of the Agri-Analytics module is divided into hardware sensor testing and local machine learning model evaluation:</w:t>
      </w:r>
    </w:p>
    <w:p>
      <w:pPr>
        <w:pStyle w:val="ListNumber"/>
        <w:spacing w:after="60"/>
        <w:ind w:left="360"/>
      </w:pPr>
      <w:r>
        <w:rPr>
          <w:b/>
        </w:rPr>
        <w:t>Sensor Accuracy Calibration</w:t>
      </w:r>
      <w:r>
        <w:t>:</w:t>
      </w:r>
    </w:p>
    <w:p>
      <w:pPr>
        <w:pStyle w:val="ListBullet"/>
        <w:spacing w:after="60"/>
        <w:ind w:left="360"/>
      </w:pPr>
      <w:r>
        <w:t>*Capacitive Soil Moisture Calibration*: Probes were placed in three soil samples with differing hydration levels (bone dry, optimal dampness, and fully saturated). Sensor analog voltage readouts were recorded via the Pico W ADC0 channel and compared to gravimetric soil water measurements (drying soil in an oven and weighing the water loss) to map raw ADC values to percentage volumetric water content (% VWC).</w:t>
      </w:r>
    </w:p>
    <w:p>
      <w:pPr>
        <w:pStyle w:val="ListBullet"/>
        <w:spacing w:after="60"/>
        <w:ind w:left="360"/>
      </w:pPr>
      <w:r>
        <w:t>*DHT22 Accuracy Verification*: Digital readings of relative humidity and temperature were recorded concurrently with measurements from a calibrated, industrial-grade thermohygrometer. Readings were taken over a 24-hour cycle to capture high-temperature midday and low-temperature night fluctuations, calculating mean absolute error (MAE) and root mean square error (RMSE).</w:t>
      </w:r>
    </w:p>
    <w:p>
      <w:pPr>
        <w:pStyle w:val="ListNumber"/>
        <w:spacing w:after="60"/>
        <w:ind w:left="360"/>
      </w:pPr>
      <w:r>
        <w:rPr>
          <w:b/>
        </w:rPr>
        <w:t>TensorFlow Lite Inference Benchmarking</w:t>
      </w:r>
      <w:r>
        <w:t>:</w:t>
      </w:r>
    </w:p>
    <w:p>
      <w:pPr>
        <w:pStyle w:val="ListBullet"/>
        <w:spacing w:after="60"/>
        <w:ind w:left="360"/>
      </w:pPr>
      <w:r>
        <w:t xml:space="preserve">*Inference Latency Measurement*: A test script on the central Raspberry Pi 4 recorded the execution time of the TF Lite interpreter interpreter-only library when loading the quantized </w:t>
      </w:r>
      <w:r>
        <w:rPr>
          <w:rFonts w:ascii="Consolas" w:hAnsi="Consolas"/>
          <w:color w:val="B42828"/>
          <w:sz w:val="19"/>
        </w:rPr>
        <w:t>watering_model.tflite</w:t>
      </w:r>
      <w:r>
        <w:t xml:space="preserve"> model and executing classifications. Latency was measured over 1,000 consecutive iterations to calculate average inference execution time, standard deviation, and maximum jitter.</w:t>
      </w:r>
    </w:p>
    <w:p>
      <w:pPr>
        <w:pStyle w:val="ListBullet"/>
        <w:spacing w:after="60"/>
        <w:ind w:left="360"/>
      </w:pPr>
      <w:r>
        <w:t>*Prediction Accuracy Evaluation*: The binary watering decisions output by the model (water vs. do not water) were compared to a manual decision matrix validated by agricultural extension charts to evaluate model precision, recall, and F1-score under varying input parameters.</w:t>
      </w:r>
    </w:p>
    <w:p>
      <w:pPr>
        <w:spacing w:after="240"/>
        <w:jc w:val="center"/>
      </w:pPr>
      <w:r>
        <w:rPr>
          <w:color w:val="C8C8C8"/>
        </w:rPr>
        <w:t>____________________________________________________</w:t>
      </w:r>
    </w:p>
    <w:p>
      <w:pPr>
        <w:pStyle w:val="Heading3"/>
        <w:spacing w:before="120" w:after="80"/>
      </w:pPr>
      <w:r>
        <w:rPr>
          <w:rFonts w:ascii="Times New Roman" w:hAnsi="Times New Roman"/>
          <w:b/>
        </w:rPr>
        <w:t>3.7.2 Alert Propagation and Security Trigger Delay</w:t>
      </w:r>
    </w:p>
    <w:p>
      <w:pPr>
        <w:spacing w:after="120" w:line="276" w:lineRule="auto"/>
      </w:pPr>
      <w:r>
        <w:t>To verify that the Edge-Alert Security Gateway functions as a low-latency trigger system, alert propagation times were measured across the physical and network boundaries:</w:t>
      </w:r>
    </w:p>
    <w:p>
      <w:pPr>
        <w:pStyle w:val="ListNumber"/>
        <w:spacing w:after="60"/>
        <w:ind w:left="360"/>
      </w:pPr>
      <w:r>
        <w:rPr>
          <w:b/>
        </w:rPr>
        <w:t>Trigger Latency Measurement</w:t>
      </w:r>
      <w:r>
        <w:t>:</w:t>
      </w:r>
    </w:p>
    <w:p>
      <w:pPr>
        <w:pStyle w:val="ListBullet"/>
        <w:spacing w:after="60"/>
        <w:ind w:left="360"/>
      </w:pPr>
      <w:r>
        <w:t>An automated timing script on the edge Pico W flagged the exact microsecond timestamp at which GP14 (PIR digital input) or GP16/17 (Ultrasonic distance change exceeding threshold) was triggered.</w:t>
      </w:r>
    </w:p>
    <w:p>
      <w:pPr>
        <w:pStyle w:val="ListBullet"/>
        <w:spacing w:after="60"/>
        <w:ind w:left="360"/>
      </w:pPr>
      <w:r>
        <w:t>This timestamp was compiled into the JSON payload sent via MQTT.</w:t>
      </w:r>
    </w:p>
    <w:p>
      <w:pPr>
        <w:pStyle w:val="ListBullet"/>
        <w:spacing w:after="60"/>
        <w:ind w:left="360"/>
      </w:pPr>
      <w:r>
        <w:t>The central Vault daemon script recorded the arrival timestamp upon receiving the MQTT trigger.</w:t>
      </w:r>
    </w:p>
    <w:p>
      <w:pPr>
        <w:pStyle w:val="ListBullet"/>
        <w:spacing w:after="60"/>
        <w:ind w:left="360"/>
      </w:pPr>
      <w:r>
        <w:t>The difference between the trigger timestamp and the arrival timestamp was calculated as the net network propagation latency. This test was repeated 500 times to determine average network delay under nominal Wi-Fi signal conditions.</w:t>
      </w:r>
    </w:p>
    <w:p>
      <w:pPr>
        <w:pStyle w:val="ListNumber"/>
        <w:spacing w:after="60"/>
        <w:ind w:left="360"/>
      </w:pPr>
      <w:r>
        <w:rPr>
          <w:b/>
        </w:rPr>
        <w:t>Virtual Tripwire Detection Range</w:t>
      </w:r>
      <w:r>
        <w:t>:</w:t>
      </w:r>
    </w:p>
    <w:p>
      <w:pPr>
        <w:pStyle w:val="ListBullet"/>
        <w:spacing w:after="60"/>
        <w:ind w:left="360"/>
      </w:pPr>
      <w:r>
        <w:t>The HC-SR04 ultrasonic sensor was mounted at a height of 1 meter. Physical obstacles of varying profiles (e.g., human-sized targets, small animals) were introduced at distances ranging from 50cm to 400cm at angles of 0°, 15°, and 30° relative to the sensor axis to map the detection boundary and record the false-negative rate.</w:t>
      </w:r>
    </w:p>
    <w:p>
      <w:pPr>
        <w:spacing w:after="240"/>
        <w:jc w:val="center"/>
      </w:pPr>
      <w:r>
        <w:rPr>
          <w:color w:val="C8C8C8"/>
        </w:rPr>
        <w:t>____________________________________________________</w:t>
      </w:r>
    </w:p>
    <w:p>
      <w:pPr>
        <w:pStyle w:val="Heading3"/>
        <w:spacing w:before="120" w:after="80"/>
      </w:pPr>
      <w:r>
        <w:rPr>
          <w:rFonts w:ascii="Times New Roman" w:hAnsi="Times New Roman"/>
          <w:b/>
        </w:rPr>
        <w:t>3.7.3 Transactional Resiliency and Rollback Validation</w:t>
      </w:r>
    </w:p>
    <w:p>
      <w:pPr>
        <w:spacing w:after="120" w:line="276" w:lineRule="auto"/>
      </w:pPr>
      <w:r>
        <w:t>To verify the transaction integrity of the Mesh-POS database system in environments with high power instability, we tested checkout transaction completion and SQLite ACID compliance under simulated power disruptions:</w:t>
      </w:r>
    </w:p>
    <w:p>
      <w:pPr>
        <w:pStyle w:val="ListNumber"/>
        <w:spacing w:after="60"/>
        <w:ind w:left="360"/>
      </w:pPr>
      <w:r>
        <w:rPr>
          <w:b/>
        </w:rPr>
        <w:t>POS Communication Latency</w:t>
      </w:r>
      <w:r>
        <w:t>:</w:t>
      </w:r>
    </w:p>
    <w:p>
      <w:pPr>
        <w:pStyle w:val="ListBullet"/>
        <w:spacing w:after="60"/>
        <w:ind w:left="360"/>
      </w:pPr>
      <w:r>
        <w:t>Using a test client on a guest mobile device, 100 checkouts were simulated over the local Wi-Fi Access Point (via WebSockets) and Bluetooth SPP (via RFCOMM socket).</w:t>
      </w:r>
    </w:p>
    <w:p>
      <w:pPr>
        <w:pStyle w:val="ListBullet"/>
        <w:spacing w:after="60"/>
        <w:ind w:left="360"/>
      </w:pPr>
      <w:r>
        <w:t>The total round-trip time—from entering the transaction total to receiving a signed SQLite invoice confirmation on the client screen—was measured to calculate transaction execution latency.</w:t>
      </w:r>
    </w:p>
    <w:p>
      <w:pPr>
        <w:pStyle w:val="ListNumber"/>
        <w:spacing w:after="60"/>
        <w:ind w:left="360"/>
      </w:pPr>
      <w:r>
        <w:rPr>
          <w:b/>
        </w:rPr>
        <w:t>ACID Transaction Resiliency under Power Loss</w:t>
      </w:r>
      <w:r>
        <w:t>:</w:t>
      </w:r>
    </w:p>
    <w:p>
      <w:pPr>
        <w:pStyle w:val="ListBullet"/>
        <w:spacing w:after="60"/>
        <w:ind w:left="360"/>
      </w:pPr>
      <w:r>
        <w:t>To simulate sudden grid failure or power bank disconnection, a hardware switch was wired to interrupt the USB-C power delivery rails of the central Raspberry Pi 4 orchestrator.</w:t>
      </w:r>
    </w:p>
    <w:p>
      <w:pPr>
        <w:pStyle w:val="ListBullet"/>
        <w:spacing w:after="60"/>
        <w:ind w:left="360"/>
      </w:pPr>
      <w:r>
        <w:t>A continuous script on the mobile client sent rapid checkout transaction batches.</w:t>
      </w:r>
    </w:p>
    <w:p>
      <w:pPr>
        <w:pStyle w:val="ListBullet"/>
        <w:spacing w:after="60"/>
        <w:ind w:left="360"/>
      </w:pPr>
      <w:r>
        <w:t>While the SQLite database transaction writes were actively executing (</w:t>
      </w:r>
      <w:r>
        <w:rPr>
          <w:rFonts w:ascii="Consolas" w:hAnsi="Consolas"/>
          <w:color w:val="B42828"/>
          <w:sz w:val="19"/>
        </w:rPr>
        <w:t>COMMIT</w:t>
      </w:r>
      <w:r>
        <w:t xml:space="preserve"> command execution), power to the Pi 4 was cut.</w:t>
      </w:r>
    </w:p>
    <w:p>
      <w:pPr>
        <w:pStyle w:val="ListBullet"/>
        <w:spacing w:after="60"/>
        <w:ind w:left="360"/>
      </w:pPr>
      <w:r>
        <w:t>Upon rebooting the Pi 4, the database journal and transaction ledger were inspected to verify that no half-written or corrupt transaction states existed, proving that SQLite's Write-Ahead Logging (WAL) and automatic transaction rollback rolled back incomplete records safely.</w:t>
      </w:r>
    </w:p>
    <w:p>
      <w:pPr>
        <w:spacing w:after="240"/>
        <w:jc w:val="center"/>
      </w:pPr>
      <w:r>
        <w:rPr>
          <w:color w:val="C8C8C8"/>
        </w:rPr>
        <w:t>____________________________________________________</w:t>
      </w:r>
    </w:p>
    <w:p>
      <w:pPr>
        <w:pStyle w:val="Heading3"/>
        <w:spacing w:before="120" w:after="80"/>
      </w:pPr>
      <w:r>
        <w:rPr>
          <w:rFonts w:ascii="Times New Roman" w:hAnsi="Times New Roman"/>
          <w:b/>
        </w:rPr>
        <w:t>3.7.4 Offline Mesh Network Throughput and Signal Range</w:t>
      </w:r>
    </w:p>
    <w:p>
      <w:pPr>
        <w:spacing w:after="120" w:line="276" w:lineRule="auto"/>
      </w:pPr>
      <w:r>
        <w:t>The offline local network was tested to establish operational limits and connection stability in rural setups:</w:t>
      </w:r>
    </w:p>
    <w:p>
      <w:pPr>
        <w:pStyle w:val="ListNumber"/>
        <w:spacing w:after="60"/>
        <w:ind w:left="360"/>
      </w:pPr>
      <w:r>
        <w:rPr>
          <w:b/>
        </w:rPr>
        <w:t>Packet Delivery Rate vs. Distance</w:t>
      </w:r>
      <w:r>
        <w:t>:</w:t>
      </w:r>
    </w:p>
    <w:p>
      <w:pPr>
        <w:pStyle w:val="ListBullet"/>
        <w:spacing w:after="60"/>
        <w:ind w:left="360"/>
      </w:pPr>
      <w:r>
        <w:t>An edge Pico W node was placed at increasing distances (from 10 meters to 150 meters) in direct line-of-sight and obstructed (behind brick walls and foliage) environments relative to the central Pi 4 Access Point.</w:t>
      </w:r>
    </w:p>
    <w:p>
      <w:pPr>
        <w:pStyle w:val="ListBullet"/>
        <w:spacing w:after="60"/>
        <w:ind w:left="360"/>
      </w:pPr>
      <w:r>
        <w:t>The node published 1,000 MQTT packets at 1-second intervals.</w:t>
      </w:r>
    </w:p>
    <w:p>
      <w:pPr>
        <w:pStyle w:val="ListBullet"/>
        <w:spacing w:after="60"/>
        <w:ind w:left="360"/>
      </w:pPr>
      <w:r>
        <w:t>The packet loss rate and Received Signal Strength Indicator (RSSI) values were logged on the central broker to chart network degradation.</w:t>
      </w:r>
    </w:p>
    <w:p>
      <w:pPr>
        <w:pStyle w:val="ListNumber"/>
        <w:spacing w:after="60"/>
        <w:ind w:left="360"/>
      </w:pPr>
      <w:r>
        <w:rPr>
          <w:b/>
        </w:rPr>
        <w:t>Reconnection Recovery Latency</w:t>
      </w:r>
      <w:r>
        <w:t>:</w:t>
      </w:r>
    </w:p>
    <w:p>
      <w:pPr>
        <w:pStyle w:val="ListBullet"/>
        <w:spacing w:after="60"/>
        <w:ind w:left="360"/>
      </w:pPr>
      <w:r>
        <w:t>A Pico W node was powered down, moved out of Wi-Fi range, and powered back up.</w:t>
      </w:r>
    </w:p>
    <w:p>
      <w:pPr>
        <w:pStyle w:val="ListBullet"/>
        <w:spacing w:after="60"/>
        <w:ind w:left="360"/>
      </w:pPr>
      <w:r>
        <w:t>The node was physically moved back into range.</w:t>
      </w:r>
    </w:p>
    <w:p>
      <w:pPr>
        <w:pStyle w:val="ListBullet"/>
        <w:spacing w:after="60"/>
        <w:ind w:left="360"/>
      </w:pPr>
      <w:r>
        <w:t>The time from re-entering the AP signal threshold to establishing a socket handshake with the Mosquitto broker and resuming MQTT telemetry transmission was recorded to define connection recovery latency.</w:t>
      </w:r>
    </w:p>
    <w:p>
      <w:pPr>
        <w:spacing w:after="240"/>
        <w:jc w:val="center"/>
      </w:pPr>
      <w:r>
        <w:rPr>
          <w:color w:val="C8C8C8"/>
        </w:rPr>
        <w:t>____________________________________________________</w:t>
      </w:r>
    </w:p>
    <w:p>
      <w:pPr>
        <w:pStyle w:val="Heading3"/>
        <w:spacing w:before="120" w:after="80"/>
      </w:pPr>
      <w:r>
        <w:rPr>
          <w:rFonts w:ascii="Times New Roman" w:hAnsi="Times New Roman"/>
          <w:b/>
        </w:rPr>
        <w:t>3.7.5 Power Profiling and Battery Lifespan Projections</w:t>
      </w:r>
    </w:p>
    <w:p>
      <w:pPr>
        <w:spacing w:after="120" w:line="276" w:lineRule="auto"/>
      </w:pPr>
      <w:r>
        <w:t>Because the edge nodes are deployed in remote fields powered by swappable batteries, accurate current profiling is required to maximize operational life:</w:t>
      </w:r>
    </w:p>
    <w:p>
      <w:pPr>
        <w:pStyle w:val="ListNumber"/>
        <w:spacing w:after="60"/>
        <w:ind w:left="360"/>
      </w:pPr>
      <w:r>
        <w:rPr>
          <w:b/>
        </w:rPr>
        <w:t>Current Draw Profiling</w:t>
      </w:r>
      <w:r>
        <w:t>:</w:t>
      </w:r>
    </w:p>
    <w:p>
      <w:pPr>
        <w:pStyle w:val="ListBullet"/>
        <w:spacing w:after="60"/>
        <w:ind w:left="360"/>
      </w:pPr>
      <w:r>
        <w:t>A digital multimeter was connected in series between the TP4056 step-up output rail and the Pico W VBUS pin.</w:t>
      </w:r>
    </w:p>
    <w:p>
      <w:pPr>
        <w:pStyle w:val="ListBullet"/>
        <w:spacing w:after="60"/>
        <w:ind w:left="360"/>
      </w:pPr>
      <w:r>
        <w:t>Current draw was recorded during three operational states:</w:t>
      </w:r>
    </w:p>
    <w:p>
      <w:pPr>
        <w:pStyle w:val="ListBullet"/>
        <w:spacing w:after="60"/>
        <w:ind w:left="360"/>
      </w:pPr>
      <w:r>
        <w:t xml:space="preserve">*Deep Sleep State*: MicroPython </w:t>
      </w:r>
      <w:r>
        <w:rPr>
          <w:rFonts w:ascii="Consolas" w:hAnsi="Consolas"/>
          <w:color w:val="B42828"/>
          <w:sz w:val="19"/>
        </w:rPr>
        <w:t>machine.deepsleep()</w:t>
      </w:r>
      <w:r>
        <w:t xml:space="preserve"> active, sensors powered down (measured in microamperes).</w:t>
      </w:r>
    </w:p>
    <w:p>
      <w:pPr>
        <w:pStyle w:val="ListBullet"/>
        <w:spacing w:after="60"/>
        <w:ind w:left="360"/>
      </w:pPr>
      <w:r>
        <w:t>*Active Sampling State*: Sensors active, reading ADC and digital pins (measured in milliamperes).</w:t>
      </w:r>
    </w:p>
    <w:p>
      <w:pPr>
        <w:pStyle w:val="ListBullet"/>
        <w:spacing w:after="60"/>
        <w:ind w:left="360"/>
      </w:pPr>
      <w:r>
        <w:t>*RF Transmission State*: Local Wi-Fi transceiver active, connecting to the AP and publishing MQTT packets (measured in milliamperes).</w:t>
      </w:r>
    </w:p>
    <w:p>
      <w:pPr>
        <w:pStyle w:val="ListNumber"/>
        <w:spacing w:after="60"/>
        <w:ind w:left="360"/>
      </w:pPr>
      <w:r>
        <w:rPr>
          <w:b/>
        </w:rPr>
        <w:t>Battery Discharge Cycle Verification</w:t>
      </w:r>
      <w:r>
        <w:t>:</w:t>
      </w:r>
    </w:p>
    <w:p>
      <w:pPr>
        <w:pStyle w:val="ListBullet"/>
        <w:spacing w:after="60"/>
        <w:ind w:left="360"/>
      </w:pPr>
      <w:r>
        <w:t>Fully charged 18650 Li-Ion cells (4.2V fully charged, 2500mAh nominal) were connected to edge nodes.</w:t>
      </w:r>
    </w:p>
    <w:p>
      <w:pPr>
        <w:pStyle w:val="ListBullet"/>
        <w:spacing w:after="60"/>
        <w:ind w:left="360"/>
      </w:pPr>
      <w:r>
        <w:t>The nodes were programmed to sample sensors every 15 minutes, publish to the broker, and enter deep sleep.</w:t>
      </w:r>
    </w:p>
    <w:p>
      <w:pPr>
        <w:pStyle w:val="ListBullet"/>
        <w:spacing w:after="60"/>
        <w:ind w:left="360"/>
      </w:pPr>
      <w:r>
        <w:t>The battery voltage was reported as a telemetry variable and recorded in InfluxDB.</w:t>
      </w:r>
    </w:p>
    <w:p>
      <w:pPr>
        <w:pStyle w:val="ListBullet"/>
        <w:spacing w:after="60"/>
        <w:ind w:left="360"/>
      </w:pPr>
      <w:r>
        <w:t>The battery was discharged until the TP4056 protection module cutoff threshold (typically 2.7V) was reached, logging the net runtime (in days) to validate theoretical battery lifespan calculations.</w:t>
      </w:r>
    </w:p>
    <w:p>
      <w:pPr>
        <w:pStyle w:val="Heading2"/>
        <w:spacing w:before="240" w:after="120"/>
      </w:pPr>
      <w:r>
        <w:rPr>
          <w:rFonts w:ascii="Times New Roman" w:hAnsi="Times New Roman"/>
          <w:b/>
        </w:rPr>
        <w:t>3.8 Ethical and Safety Considerations</w:t>
      </w:r>
    </w:p>
    <w:p>
      <w:pPr>
        <w:spacing w:after="120" w:line="276" w:lineRule="auto"/>
      </w:pPr>
      <w:r>
        <w:t>To ensure the physical durability of the hardware, the safety of the operating technicians, and the ethical protection of the communities during the deployment of the Modular Adaptive Data Node (MADN) prototype in Bulawayo and Tsholotsho, a comprehensive set of ethical and safety protocols was established. These considerations govern the electrical, physical, data-privacy, and algorithmic layers of the ecosystem.</w:t>
      </w:r>
    </w:p>
    <w:p>
      <w:pPr>
        <w:spacing w:after="240"/>
        <w:jc w:val="center"/>
      </w:pPr>
      <w:r>
        <w:rPr>
          <w:color w:val="C8C8C8"/>
        </w:rPr>
        <w:t>____________________________________________________</w:t>
      </w:r>
    </w:p>
    <w:p>
      <w:pPr>
        <w:pStyle w:val="Heading3"/>
        <w:spacing w:before="120" w:after="80"/>
      </w:pPr>
      <w:r>
        <w:rPr>
          <w:rFonts w:ascii="Times New Roman" w:hAnsi="Times New Roman"/>
          <w:b/>
        </w:rPr>
        <w:t>3.8.1 Physical and Electrical Safety Protocols</w:t>
      </w:r>
    </w:p>
    <w:p>
      <w:pPr>
        <w:spacing w:after="120" w:line="276" w:lineRule="auto"/>
      </w:pPr>
      <w:r>
        <w:t>Deploying edge sensing nodes in remote agricultural fields and community hubs exposes hardware and operators to various electrical and physical hazards. The safety mechanisms address battery protection, thermal regulation, and structural durability:</w:t>
      </w:r>
    </w:p>
    <w:p>
      <w:pPr>
        <w:pStyle w:val="ListNumber"/>
        <w:spacing w:after="60"/>
        <w:ind w:left="360"/>
      </w:pPr>
      <w:r>
        <w:rPr>
          <w:b/>
        </w:rPr>
        <w:t>Lithium-Ion Battery Safety and Thermal Management</w:t>
      </w:r>
      <w:r>
        <w:t>:</w:t>
      </w:r>
    </w:p>
    <w:p>
      <w:pPr>
        <w:pStyle w:val="ListBullet"/>
        <w:spacing w:after="60"/>
        <w:ind w:left="360"/>
      </w:pPr>
      <w:r>
        <w:t>The edge nodes rely on 18650 Lithium-Ion cells (3.7V nominal, 4.2V fully charged), which present severe risks of thermal runaway, venting, or explosion if subjected to overcharging, deep discharge, or short circuits under extreme ambient temperatures (frequently exceeding 38°C in Tsholotsho during the dry season).</w:t>
      </w:r>
    </w:p>
    <w:p>
      <w:pPr>
        <w:pStyle w:val="ListBullet"/>
        <w:spacing w:after="60"/>
        <w:ind w:left="360"/>
      </w:pPr>
      <w:r>
        <w:t>*Active Protection Circuitry*: Every node integrates a TP4056 charge controller paired with a DW01 battery protection IC. This module dynamically isolates the battery if the cell voltage exceeds 4.25V (overcharge cutoff) or falls below 2.5V (over-discharge cutoff), and shuts down the circuit if the draw current exceeds 3.0A (short-circuit protection).</w:t>
      </w:r>
    </w:p>
    <w:p>
      <w:pPr>
        <w:pStyle w:val="ListBullet"/>
        <w:spacing w:after="60"/>
        <w:ind w:left="360"/>
      </w:pPr>
      <w:r>
        <w:t>*Physical Isolation and Wiring*: Solid JST-PH 2.0 reverse-polarity connectors are utilized to link the battery to the shield. This prevents accidental shorting or reverse-current flow when field operators swap depleted cells.</w:t>
      </w:r>
    </w:p>
    <w:p>
      <w:pPr>
        <w:pStyle w:val="ListNumber"/>
        <w:spacing w:after="60"/>
        <w:ind w:left="360"/>
      </w:pPr>
      <w:r>
        <w:rPr>
          <w:b/>
        </w:rPr>
        <w:t>Environmental Weatherproofing and Thermal Control</w:t>
      </w:r>
      <w:r>
        <w:t>:</w:t>
      </w:r>
    </w:p>
    <w:p>
      <w:pPr>
        <w:pStyle w:val="ListBullet"/>
        <w:spacing w:after="60"/>
        <w:ind w:left="360"/>
      </w:pPr>
      <w:r>
        <w:t>Physical enclosures are designed to meet IP65 weatherproofing standards, utilizing snap-fit cases designed in FreeCAD and printed with UV-stable PETG (Polyethylene Terephthalate Glycol) filament to withstand sunlight exposure and prevent structural degradation.</w:t>
      </w:r>
    </w:p>
    <w:p>
      <w:pPr>
        <w:pStyle w:val="ListBullet"/>
        <w:spacing w:after="60"/>
        <w:ind w:left="360"/>
      </w:pPr>
      <w:r>
        <w:t>For the central Vault orchestrator (Raspberry Pi 4), which operates continuously in community centers or shops, high-speed active dual cooling fans prevent the CPU from exceeding its 80°C throttle threshold. This active cooling ensures continuous operations under high ambient temperatures, preventing CPU instability and minimizing the risk of heat-induced fire hazards.</w:t>
      </w:r>
    </w:p>
    <w:p>
      <w:pPr>
        <w:spacing w:after="240"/>
        <w:jc w:val="center"/>
      </w:pPr>
      <w:r>
        <w:rPr>
          <w:color w:val="C8C8C8"/>
        </w:rPr>
        <w:t>____________________________________________________</w:t>
      </w:r>
    </w:p>
    <w:p>
      <w:pPr>
        <w:pStyle w:val="Heading3"/>
        <w:spacing w:before="120" w:after="80"/>
      </w:pPr>
      <w:r>
        <w:rPr>
          <w:rFonts w:ascii="Times New Roman" w:hAnsi="Times New Roman"/>
          <w:b/>
        </w:rPr>
        <w:t>3.8.2 Ethical Considerations in Edge Deployment</w:t>
      </w:r>
    </w:p>
    <w:p>
      <w:pPr>
        <w:spacing w:after="120" w:line="276" w:lineRule="auto"/>
      </w:pPr>
      <w:r>
        <w:t>The decentralization of community data, security alerts, and local commerce introduces ethical implications regarding privacy, local governance, algorithmic fairness, and inclusion:</w:t>
      </w:r>
    </w:p>
    <w:p>
      <w:pPr>
        <w:pStyle w:val="ListNumber"/>
        <w:spacing w:after="60"/>
        <w:ind w:left="360"/>
      </w:pPr>
      <w:r>
        <w:rPr>
          <w:b/>
        </w:rPr>
        <w:t>Privacy-Preserving Edge Alerting</w:t>
      </w:r>
      <w:r>
        <w:t>:</w:t>
      </w:r>
    </w:p>
    <w:p>
      <w:pPr>
        <w:pStyle w:val="ListBullet"/>
        <w:spacing w:after="60"/>
        <w:ind w:left="360"/>
      </w:pPr>
      <w:r>
        <w:t>The Edge-Alert Security Gateway is deployed to detect physical intrusion and safeguard assets in community storehouses or local fields. Surveillance systems in public spaces raise serious privacy and consent issues.</w:t>
      </w:r>
    </w:p>
    <w:p>
      <w:pPr>
        <w:pStyle w:val="ListBullet"/>
        <w:spacing w:after="60"/>
        <w:ind w:left="360"/>
      </w:pPr>
      <w:r>
        <w:t>*Zero-Image Policy*: To eliminate the risk of tracking individual facial features or recording private activities, the gateway omits camera modules or microphones. Instead, it relies strictly on Passive Infrared (PIR) sensors (motion triggers) and Ultrasonic distance sensors (boundary virtual tripwires).</w:t>
      </w:r>
    </w:p>
    <w:p>
      <w:pPr>
        <w:pStyle w:val="ListBullet"/>
        <w:spacing w:after="60"/>
        <w:ind w:left="360"/>
      </w:pPr>
      <w:r>
        <w:t xml:space="preserve">*Data Minimization*: State updates are transmitted as simple JSON payloads containing only binary state changes (e.g., </w:t>
      </w:r>
      <w:r>
        <w:rPr>
          <w:rFonts w:ascii="Consolas" w:hAnsi="Consolas"/>
          <w:color w:val="B42828"/>
          <w:sz w:val="19"/>
        </w:rPr>
        <w:t>motion: true</w:t>
      </w:r>
      <w:r>
        <w:t>) and node IDs. This design protects the anonymity of individuals passing through monitored areas while still fulfilling the security monitoring function.</w:t>
      </w:r>
    </w:p>
    <w:p>
      <w:pPr>
        <w:pStyle w:val="ListNumber"/>
        <w:spacing w:after="60"/>
        <w:ind w:left="360"/>
      </w:pPr>
      <w:r>
        <w:rPr>
          <w:b/>
        </w:rPr>
        <w:t>Local-First Data Governance</w:t>
      </w:r>
      <w:r>
        <w:t>:</w:t>
      </w:r>
    </w:p>
    <w:p>
      <w:pPr>
        <w:pStyle w:val="ListBullet"/>
        <w:spacing w:after="60"/>
        <w:ind w:left="360"/>
      </w:pPr>
      <w:r>
        <w:t>The Mesh-POS transaction ledger manages store credits, inventory, and customer token IDs offline. Storing transaction ledgers locally instead of syncing to centralized cloud servers requires strict local security to prevent data manipulation or loss of funds.</w:t>
      </w:r>
    </w:p>
    <w:p>
      <w:pPr>
        <w:pStyle w:val="ListBullet"/>
        <w:spacing w:after="60"/>
        <w:ind w:left="360"/>
      </w:pPr>
      <w:r>
        <w:t>*Decentralized Trust*: All checkout events are written to an SQLite database with Write-Ahead Logging (WAL) enabled, protecting data integrity during sudden power dropouts. Script folders on the Pico W and Pi 4 are stored with flash encryption enabled to prevent physical extraction and cloning of payment credits.</w:t>
      </w:r>
    </w:p>
    <w:p>
      <w:pPr>
        <w:pStyle w:val="ListBullet"/>
        <w:spacing w:after="60"/>
        <w:ind w:left="360"/>
      </w:pPr>
      <w:r>
        <w:t>*Data Sovereignty*: The community retains full ownership of their economic transaction data. Local storage prevents external entities from compiling profiles on local consumption patterns or monetizing local economic transactions.</w:t>
      </w:r>
    </w:p>
    <w:p>
      <w:pPr>
        <w:pStyle w:val="ListNumber"/>
        <w:spacing w:after="60"/>
        <w:ind w:left="360"/>
      </w:pPr>
      <w:r>
        <w:rPr>
          <w:b/>
        </w:rPr>
        <w:t>Algorithmic Fairness and Overrides</w:t>
      </w:r>
      <w:r>
        <w:t>:</w:t>
      </w:r>
    </w:p>
    <w:p>
      <w:pPr>
        <w:pStyle w:val="ListBullet"/>
        <w:spacing w:after="60"/>
        <w:ind w:left="360"/>
      </w:pPr>
      <w:r>
        <w:t>The Agri-Analytics engine uses a quantized TensorFlow Lite model to infer soil moisture requirements and automate watering decisions. Inaccurate model predictions could lead to either over-watering (depleting scarce community water supplies) or under-watering (causing crop failure and threatening local food security).</w:t>
      </w:r>
    </w:p>
    <w:p>
      <w:pPr>
        <w:pStyle w:val="ListBullet"/>
        <w:spacing w:after="60"/>
        <w:ind w:left="360"/>
      </w:pPr>
      <w:r>
        <w:t>*Manual Overrides*: The physical interface provides a tactile push-button (GP10) mapped to a manual watering override. This feature empowers local farmers to bypass automated model recommendations if they observe field anomalies that the ML model cannot account for.</w:t>
      </w:r>
    </w:p>
    <w:p>
      <w:pPr>
        <w:pStyle w:val="ListBullet"/>
        <w:spacing w:after="60"/>
        <w:ind w:left="360"/>
      </w:pPr>
      <w:r>
        <w:t>*Model Validation*: Predictions are cross-referenced with regional agricultural extension officer charts before being deployed as automated triggers, ensuring that edge machine learning remains subordinate to human expertise.</w:t>
      </w:r>
    </w:p>
    <w:p>
      <w:pPr>
        <w:pStyle w:val="ListNumber"/>
        <w:spacing w:after="60"/>
        <w:ind w:left="360"/>
      </w:pPr>
      <w:r>
        <w:rPr>
          <w:b/>
        </w:rPr>
        <w:t>Digital Inclusion and Accessibility</w:t>
      </w:r>
      <w:r>
        <w:t>:</w:t>
      </w:r>
    </w:p>
    <w:p>
      <w:pPr>
        <w:pStyle w:val="ListBullet"/>
        <w:spacing w:after="60"/>
        <w:ind w:left="360"/>
      </w:pPr>
      <w:r>
        <w:t>Relying on cloud-based web portals or mobile data connections creates systemic inequalities in Bulawayo and Tsholotsho due to high data costs and unstable network availability.</w:t>
      </w:r>
    </w:p>
    <w:p>
      <w:pPr>
        <w:pStyle w:val="ListBullet"/>
        <w:spacing w:after="60"/>
        <w:ind w:left="360"/>
      </w:pPr>
      <w:r>
        <w:t>By structuring the Vault and POS terminals to operate completely offline (via localized hostapd Access Points and Bluetooth SPP RFCOMM sockets), the system ensures that digital payment terminals, sensor metrics, and security notifications remain accessible to all community members, regardless of their financial capacity to buy mobile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