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p>
      <w:pPr>
        <w:pStyle w:val="Heading4"/>
      </w:pPr>
      <w:bookmarkStart w:id="22" w:name="research-grants"/>
      <w:r>
        <w:t xml:space="preserve">Research grants</w:t>
      </w:r>
      <w:bookmarkEnd w:id="22"/>
    </w:p>
    <w:p>
      <w:pPr>
        <w:pStyle w:val="FirstParagraph"/>
      </w:pPr>
      <w:r>
        <w:t xml:space="preserve">My greatest contribution to the research reputation of the UMKC School of Medicine has been through research grants. Since I started work at UMKC in 2009, I have received formal support on 16 research grants (7 in the past five years, see the list below). This does not include, however, the large number of grants that I have provided informal assistance on. In particular, I have helped write many Sarah Morrison research awards as part of my work for the Research and Statistical Consult Service.</w:t>
      </w:r>
    </w:p>
    <w:p>
      <w:pPr>
        <w:pStyle w:val="BodyText"/>
      </w:pPr>
      <w:r>
        <w:t xml:space="preserve">I have given talks on grant writing both locally (2018) and at the International Research Conference on Complementary and Alternative Medicine (2012 and 2014). These talks focus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BodyText"/>
      </w:pPr>
      <w:r>
        <w:t xml:space="preserve">For the numeric counts presented here and below, please note that these are the work of a</w:t>
      </w:r>
      <w:r>
        <w:t xml:space="preserve"> </w:t>
      </w:r>
      <w:r>
        <w:rPr>
          <w:b/>
        </w:rPr>
        <w:t xml:space="preserve">part-time</w:t>
      </w:r>
      <w:r>
        <w:t xml:space="preserve"> </w:t>
      </w:r>
      <w:r>
        <w:t xml:space="preserve">facultly member. During most recent five year period (July 2016 through June 2021), I have been working at 25% effort from July 2016 through December 2018 and 75% effort from January 2019 thrugh June 2021. Prior to July 2016, my percentage effort varied between 25% and 55%. If you wish to compare my productivity to a full time faculty member, you could consider doubling my numbers as a crude extrapolation.</w:t>
      </w:r>
    </w:p>
    <w:p>
      <w:pPr>
        <w:pStyle w:val="Heading4"/>
      </w:pPr>
      <w:bookmarkStart w:id="23" w:name="research-publications"/>
      <w:r>
        <w:t xml:space="preserve">Research publications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Just as with grants, however, my best work is on those publications where I am not the lead author.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Heading4"/>
      </w:pPr>
      <w:bookmarkStart w:id="24" w:name="research-presentations"/>
      <w:r>
        <w:t xml:space="preserve">Research presentations</w:t>
      </w:r>
      <w:bookmarkEnd w:id="24"/>
    </w:p>
    <w:p>
      <w:pPr>
        <w:pStyle w:val="FirstParagraph"/>
      </w:pPr>
      <w:r>
        <w:t xml:space="preserve">My role in research presentations is difficult to quantify. I stopped tracking most presentations over 20 years ago. There were just too many of them and it was impossible to independently verify the details of many of these presentations.</w:t>
      </w:r>
    </w:p>
    <w:p>
      <w:pPr>
        <w:pStyle w:val="BodyText"/>
      </w:pPr>
      <w:r>
        <w:t xml:space="preserve">I only track presentations where I am the first author. I have 42 first author presentations at regional, national, or international conferences since I started work at UMKC (23 in the past five years). None of these presentations were peer-reviewed, as that is not the norm in the field of Statistics.</w:t>
      </w:r>
    </w:p>
    <w:p>
      <w:pPr>
        <w:pStyle w:val="BodyText"/>
      </w:pPr>
      <w:r>
        <w:t xml:space="preserve">My most popular presentations are the short courses.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5" w:name="research-collaborations-internal"/>
      <w:r>
        <w:t xml:space="preserve">Research collaborations, internal</w:t>
      </w:r>
      <w:bookmarkEnd w:id="25"/>
    </w:p>
    <w:p>
      <w:pPr>
        <w:pStyle w:val="FirstParagraph"/>
      </w:pPr>
      <w:r>
        <w:t xml:space="preserve">I dislike the term</w:t>
      </w:r>
      <w:r>
        <w:t xml:space="preserve"> </w:t>
      </w:r>
      <w:r>
        <w:t xml:space="preserve">“</w:t>
      </w:r>
      <w:r>
        <w:t xml:space="preserve">mentoring</w:t>
      </w:r>
      <w:r>
        <w:t xml:space="preserve">”</w:t>
      </w:r>
      <w:r>
        <w:t xml:space="preserve"> </w:t>
      </w:r>
      <w:r>
        <w:t xml:space="preserve">as it implies a subordinate status to the person being mentored. In my interactions with other researchers, I learn as much from them as they learn from me, so I will substitute the term</w:t>
      </w:r>
      <w:r>
        <w:t xml:space="preserve"> </w:t>
      </w:r>
      <w:r>
        <w:t xml:space="preserve">“</w:t>
      </w:r>
      <w:r>
        <w:t xml:space="preserve">collaboration.</w:t>
      </w:r>
      <w:r>
        <w:t xml:space="preserve">”</w:t>
      </w:r>
    </w:p>
    <w:p>
      <w:pPr>
        <w:pStyle w:val="BodyText"/>
      </w:pPr>
      <w:r>
        <w:t xml:space="preserve">My collaboration with the Center for Economic Information (CEI) started in 2018 when I met Doug Bowles at an organizational meeting of the Institute for Data Education, Analytics, and Science. CEI has had a long history of working in Kansas City, Kansas, and Kansas City, Missouri to share geocoded information to help decision makers in neighborhood organizations and local governments. I worked with CEI to submit two grants in 2019 to the Department of Housing and Urban Development for seven hundred thousand dollars and one million dollars. Both grants supported cost effective lead remediation efforts and represented cross-institutional collaborations. Although only the first grant was funded, the second one missed the funding cut-off by a single point on a 100 point scale. We plan to revise and resubmit this grant later this summer.</w:t>
      </w:r>
    </w:p>
    <w:p>
      <w:pPr>
        <w:pStyle w:val="BodyText"/>
      </w:pPr>
      <w:r>
        <w:t xml:space="preserve">CEI has employed many Ph.D. students and helped direct their dissertation work. I provided informal guidance on Bayesian statistical models for two recent graduates, Natalie Kane and Neal Wilson. Natalie is currently working in a post-doctoral position at Children’s Mercy Hospital and Neal has parlayed his research expertise into major support on two large research grants.</w:t>
      </w:r>
    </w:p>
    <w:p>
      <w:pPr>
        <w:pStyle w:val="BodyText"/>
      </w:pPr>
      <w:r>
        <w:t xml:space="preserve">It is impossible to count the number of collaborations that I have been a part of since I joined UMKC. When I ran the Research and Statistical Consult Service (RSCS) from 2008 through 2016, I had been averaging roughly 60 different collaborations per year. Many of these were with medical students and residents, starting on their very first research project. While I still help out from time to time with the RSCS, my collaborations since then have been much more focussed.</w:t>
      </w:r>
    </w:p>
    <w:p>
      <w:pPr>
        <w:pStyle w:val="BodyText"/>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BodyText"/>
      </w:pPr>
      <w:r>
        <w:t xml:space="preserve">I have served on four thesis or dissertation committees in the past five years, but this understates my efforts to help graduate students with their research. As an example, I got an email inquiry in April 2021 from Kyle Reed, an IPhD student in the Earth and Environmental Sciences department. He is developing a regional climate model and tying it to mortality data to estimate future heat-related deaths in Missouri. They have a very good handle on things but had questions about a modelling approach, quasi-Poisson regression, that is commonly used in the literature. I have met with this student and his advisor twice and helped explain how this model works.</w:t>
      </w:r>
    </w:p>
    <w:p>
      <w:pPr>
        <w:pStyle w:val="BodyText"/>
      </w:pPr>
      <w:r>
        <w:t xml:space="preserve">I attended a talk in 2019 by Raj Anantharaman, a Big Data Fellow and PhD candidate in Computer Science, who gave an excellent talk on the use of a convolutional neural network to examine nerve conduction signals in the arm and identify certain postural motions such as pointing. He described the training set, where a volunteer would make repeated motions like pointing for 100 replications before switching to a different motion. I noted in the question and answer session how the training set could be vastly improved through the use of randomization, as one motion in a real world setting would never be used consecutively, but rather one motion would almost always be followed by a different motion. Thus, randomization would help the training set model a real world setting more accurately.</w:t>
      </w:r>
    </w:p>
    <w:p>
      <w:pPr>
        <w:pStyle w:val="Heading4"/>
      </w:pPr>
      <w:bookmarkStart w:id="26" w:name="research-collaborations-external"/>
      <w:r>
        <w:t xml:space="preserve">Research collaborations, external</w:t>
      </w:r>
      <w:bookmarkEnd w:id="26"/>
    </w:p>
    <w:p>
      <w:pPr>
        <w:pStyle w:val="FirstParagraph"/>
      </w:pPr>
      <w:r>
        <w:t xml:space="preserve">My collaboriations do not stop at the edge of campus. I have many collaborations in the Kansas City area and beyond.</w:t>
      </w:r>
    </w:p>
    <w:p>
      <w:pPr>
        <w:pStyle w:val="Heading5"/>
      </w:pPr>
      <w:bookmarkStart w:id="27" w:name="the-analysis-factor"/>
      <w:r>
        <w:t xml:space="preserve">The Analysis Factor</w:t>
      </w:r>
      <w:bookmarkEnd w:id="27"/>
    </w:p>
    <w:p>
      <w:pPr>
        <w:pStyle w:val="FirstParagraph"/>
      </w:pPr>
      <w:r>
        <w:t xml:space="preserve">Another very profitable collaboration has been with The Analysis Factor. The Analysis Factor, founded by Karen Grace-Martin, is a training and statistical consulting group providing support to other statistical consultants. One of the biggest challenges to a brand new statistical consultant is handling the unexpected, odd, or strange consulting requests from researchers that do not fit neatly into the statistical coursework in a Masters or PhD program. They offer webinars and short courses on an eclectic series of topics that fill in the gaps not covered in traditional statistics classes. The also answer tehcnical questions on discussion boards that they host.</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Heading5"/>
      </w:pPr>
      <w:bookmarkStart w:id="28" w:name="informatics-meetups"/>
      <w:r>
        <w:t xml:space="preserve">Informatics meetups</w:t>
      </w:r>
      <w:bookmarkEnd w:id="28"/>
    </w:p>
    <w:p>
      <w:pPr>
        <w:pStyle w:val="FirstParagraph"/>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Heading5"/>
      </w:pPr>
      <w:bookmarkStart w:id="29" w:name="kansas-city-r-users-group"/>
      <w:r>
        <w:t xml:space="preserve">Kansas City R Users Group</w:t>
      </w:r>
      <w:bookmarkEnd w:id="29"/>
    </w:p>
    <w:p>
      <w:pPr>
        <w:pStyle w:val="FirstParagraph"/>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Heading5"/>
      </w:pPr>
      <w:bookmarkStart w:id="30" w:name="X9dde3ef9360610ad4759d792eb882a021efe64d"/>
      <w:r>
        <w:t xml:space="preserve">Zoom teleconferences for independent statistical consultants</w:t>
      </w:r>
      <w:bookmarkEnd w:id="30"/>
    </w:p>
    <w:p>
      <w:pPr>
        <w:pStyle w:val="FirstParagraph"/>
      </w:pPr>
      <w:r>
        <w:t xml:space="preserve">I helped organize a bi-weekly Zoom meeting of independent statistical consultants who first met in April 2020 to talk about how they have had to adapt their consulting practices because of the COVID-19 pandemic. The meetings allow us consultants to announce success stories, offer advice to solve problems (both related and unrelated to the pandemic), and to share resources that we have found helpful. Indepdent consultants lack many of the resources that consultants at large organizations have, so these meetings are especially valuable.</w:t>
      </w:r>
    </w:p>
    <w:p>
      <w:pPr>
        <w:pStyle w:val="Heading4"/>
      </w:pPr>
      <w:bookmarkStart w:id="31" w:name="X6bbc3750111cb9515798e61a81a073924e42d21"/>
      <w:r>
        <w:t xml:space="preserve">14 publications from July 2016 through June 2021. Note that 4 of these are not peer-reviewed or indexed in PubMed.</w:t>
      </w:r>
      <w:bookmarkEnd w:id="31"/>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32">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33">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34">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35">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6" w:name="Xa1fa4e5f561cb50a0c42a109cebecc192154318"/>
      <w:r>
        <w:t xml:space="preserve">22 presentations from July 2016 through June 2021. This does not include presentations where I am not the lead author.</w:t>
      </w:r>
      <w:bookmarkEnd w:id="36"/>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7" w:name="Xb9ee8e45f1f5811f415f089a358c80370614052"/>
      <w:r>
        <w:t xml:space="preserve">7 grants funded from July 2016 through June 2021.</w:t>
      </w:r>
      <w:bookmarkEnd w:id="37"/>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 This list also does not include grants submitted but not funded.</w:t>
      </w:r>
    </w:p>
    <w:p>
      <w:pPr>
        <w:numPr>
          <w:numId w:val="1004"/>
          <w:ilvl w:val="0"/>
        </w:numPr>
      </w:pPr>
      <w:r>
        <w:t xml:space="preserve">Our Healthy KC Eastside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doi:10.1001/jamanetworkopen.2021.7274" TargetMode="External" /><Relationship Type="http://schemas.openxmlformats.org/officeDocument/2006/relationships/hyperlink" Id="rId33" Target="doi:10.7759/cureus.10006" TargetMode="External" /><Relationship Type="http://schemas.openxmlformats.org/officeDocument/2006/relationships/hyperlink" Id="rId35" Target="https://doi.org/10.1007/978-3-319-32001-4_257-1" TargetMode="External" /><Relationship Type="http://schemas.openxmlformats.org/officeDocument/2006/relationships/hyperlink" Id="rId34"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32" Target="doi:10.1001/jamanetworkopen.2021.7274" TargetMode="External" /><Relationship Type="http://schemas.openxmlformats.org/officeDocument/2006/relationships/hyperlink" Id="rId33" Target="doi:10.7759/cureus.10006" TargetMode="External" /><Relationship Type="http://schemas.openxmlformats.org/officeDocument/2006/relationships/hyperlink" Id="rId35" Target="https://doi.org/10.1007/978-3-319-32001-4_257-1" TargetMode="External" /><Relationship Type="http://schemas.openxmlformats.org/officeDocument/2006/relationships/hyperlink" Id="rId34"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2021-07-23T21:33:26Z</dcterms:created>
  <dcterms:modified xsi:type="dcterms:W3CDTF">2021-07-23T21:33:26Z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output">
    <vt:lpwstr/>
  </property>
  <property fmtid="{D5CDD505-2E9C-101B-9397-08002B2CF9AE}" pid="4" name="source">
    <vt:lpwstr>New</vt:lpwstr>
  </property>
  <property fmtid="{D5CDD505-2E9C-101B-9397-08002B2CF9AE}" pid="5" name="tags">
    <vt:lpwstr>Python</vt:lpwstr>
  </property>
</Properties>
</file>