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30.png" ContentType="image/png"/>
  <Override PartName="/word/media/rId34.png" ContentType="image/png"/>
  <Override PartName="/word/media/rId38.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p>
      <w:pPr>
        <w:pStyle w:val="FirstParagraph"/>
      </w:pPr>
      <w:r>
        <w:t xml:space="preserve">Author guidelines: https://onlinelibrary.wiley.com/page/journal/13652842/homepage/forauthors.html</w:t>
      </w:r>
    </w:p>
    <w:p>
      <w:pPr>
        <w:pStyle w:val="BodyText"/>
      </w:pPr>
      <w:r>
        <w:t xml:space="preserve">Stephen D. Simon</w:t>
      </w:r>
      <w:r>
        <w:rPr>
          <w:vertAlign w:val="superscript"/>
        </w:rPr>
        <w:t xml:space="preserve">1</w:t>
      </w:r>
    </w:p>
    <w:p>
      <w:pPr>
        <w:pStyle w:val="BodyText"/>
      </w:pPr>
      <w:r>
        <w:rPr>
          <w:vertAlign w:val="superscript"/>
        </w:rPr>
        <w:t xml:space="preserve">1</w:t>
      </w:r>
      <w:r>
        <w:t xml:space="preserve">Department of Biomedical and Health Informatics, School of Medicine, University of Missouri-Kanas City, Kansas City Missouri</w:t>
      </w:r>
    </w:p>
    <w:bookmarkStart w:id="20" w:name="abstract"/>
    <w:p>
      <w:pPr>
        <w:pStyle w:val="Heading2"/>
      </w:pPr>
      <w:r>
        <w:t xml:space="preserve">Abstract</w:t>
      </w:r>
    </w:p>
    <w:p>
      <w:pPr>
        <w:pStyle w:val="FirstParagraph"/>
      </w:pPr>
      <w:r>
        <w:t xml:space="preserve">The quasi-experimental design is an underutilized research methodology. It works well when the researcher has control over treatment assignment, but wishes to avoid the problems that randomization can impose. Careful selection of how the treatments are allocated can produce evidence that is just as persuasive as the classical randomized trial.</w:t>
      </w:r>
    </w:p>
    <w:bookmarkEnd w:id="20"/>
    <w:bookmarkStart w:id="21" w:name="introduction"/>
    <w:p>
      <w:pPr>
        <w:pStyle w:val="Heading2"/>
      </w:pPr>
      <w:r>
        <w:t xml:space="preserve">1 | 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It has several major advantages over other approaches to research. Randomization prevents covariate imbalance, both among measured and unmeasured covariates.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clinic serve as controls. Cluster randomization requires special care during data analysis and often require matching or other controls.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and admit that you are leaving their treatment choice up to the flip of a coin.</w:t>
      </w:r>
    </w:p>
    <w:p>
      <w:pPr>
        <w:pStyle w:val="BodyText"/>
      </w:pPr>
      <w:r>
        <w:t xml:space="preserve">This paper will not cover observational studies, those where the choice of who gets what is totally out of control of the researcher. See</w:t>
      </w:r>
      <w:r>
        <w:rPr>
          <w:vertAlign w:val="superscript"/>
        </w:rPr>
        <w:t xml:space="preserve">1</w:t>
      </w:r>
      <w:r>
        <w:t xml:space="preserve"> </w:t>
      </w:r>
      <w:r>
        <w:t xml:space="preserve">for a nice overview of observational studies and a contrast to randomized studies.</w:t>
      </w:r>
    </w:p>
    <w:p>
      <w:pPr>
        <w:pStyle w:val="BodyText"/>
      </w:pPr>
      <w:r>
        <w:t xml:space="preserve">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1"/>
    <w:bookmarkStart w:id="22" w:name="quasi-experimental-designs"/>
    <w:p>
      <w:pPr>
        <w:pStyle w:val="Heading2"/>
      </w:pPr>
      <w:r>
        <w:t xml:space="preserve">2 | QUASI-EXPERIMENTAL DESIGNS</w:t>
      </w:r>
    </w:p>
    <w:bookmarkEnd w:id="22"/>
    <w:bookmarkStart w:id="23" w:name="the-infamous-historical-control"/>
    <w:p>
      <w:pPr>
        <w:pStyle w:val="Heading2"/>
      </w:pPr>
      <w:r>
        <w:t xml:space="preserve">2.1 | 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Historical controls have indeed been behind some absolute research disasters.</w:t>
      </w:r>
    </w:p>
    <w:p>
      <w:pPr>
        <w:pStyle w:val="BodyText"/>
      </w:pPr>
      <w:r>
        <w:t xml:space="preserve">Nevertheless, you will still see historical control designs in the literature. One study</w:t>
      </w:r>
      <w:r>
        <w:rPr>
          <w:vertAlign w:val="superscript"/>
        </w:rPr>
        <w:t xml:space="preserve">2</w:t>
      </w:r>
      <w:r>
        <w:t xml:space="preserve"> </w:t>
      </w:r>
      <w:r>
        <w:t xml:space="preserve">compared the treatment with low-level laser therapy of 21 patients with Oral Mucositis from December 2022 to September 2023 to 96 control patients recruited from another study</w:t>
      </w:r>
      <w:r>
        <w:rPr>
          <w:vertAlign w:val="superscript"/>
        </w:rPr>
        <w:t xml:space="preserve">3</w:t>
      </w:r>
      <w:r>
        <w:t xml:space="preserve"> </w:t>
      </w:r>
      <w:r>
        <w:t xml:space="preserve">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3"/>
    <w:bookmarkStart w:id="24" w:name="the-before-and-after-design"/>
    <w:p>
      <w:pPr>
        <w:pStyle w:val="Heading2"/>
      </w:pPr>
      <w:r>
        <w:t xml:space="preserve">2.2 | 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w:t>
      </w:r>
      <w:r>
        <w:rPr>
          <w:vertAlign w:val="superscript"/>
        </w:rPr>
        <w:t xml:space="preserve">4</w:t>
      </w:r>
      <w:r>
        <w:t xml:space="preserve">.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4"/>
    <w:bookmarkStart w:id="25" w:name="quasi-experiments-to-the-rescue"/>
    <w:p>
      <w:pPr>
        <w:pStyle w:val="Heading2"/>
      </w:pPr>
      <w:r>
        <w:t xml:space="preserve">2.3 | Quasi-experiments to the rescue</w:t>
      </w:r>
    </w:p>
    <w:p>
      <w:pPr>
        <w:pStyle w:val="FirstParagraph"/>
      </w:pPr>
      <w:r>
        <w:t xml:space="preserve">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w:t>
      </w:r>
      <w:r>
        <w:rPr>
          <w:vertAlign w:val="superscript"/>
        </w:rPr>
        <w:t xml:space="preserve">5</w:t>
      </w:r>
      <w:r>
        <w:t xml:space="preserve"> </w:t>
      </w:r>
      <w:r>
        <w:t xml:space="preserve">(page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5"/>
    <w:bookmarkStart w:id="29" w:name="interrupted-time-series"/>
    <w:p>
      <w:pPr>
        <w:pStyle w:val="Heading2"/>
      </w:pPr>
      <w:r>
        <w:t xml:space="preserve">2.4 | 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to possible outcomes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27" name="Picture"/>
            <a:graphic>
              <a:graphicData uri="http://schemas.openxmlformats.org/drawingml/2006/picture">
                <pic:pic>
                  <pic:nvPicPr>
                    <pic:cNvPr descr="experimentation-without-randomization_files/figure-docx/time-series-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w:t>
      </w:r>
      <w:r>
        <w:rPr>
          <w:vertAlign w:val="superscript"/>
        </w:rPr>
        <w:t xml:space="preserve">6</w:t>
      </w:r>
      <w:r>
        <w:t xml:space="preserve"> </w:t>
      </w:r>
      <w:r>
        <w:t xml:space="preserve">monitored patients biweekly in 2019 prior to the introduction of a system of electronic reminders and feedback. Monitoring continued throughout all of 2020. The second half of 2019 was compared to the second half of 2020, to avoid problems with transitioning and with seasonality.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9"/>
    <w:bookmarkStart w:id="33" w:name="phased-intervetions"/>
    <w:p>
      <w:pPr>
        <w:pStyle w:val="Heading2"/>
      </w:pPr>
      <w:r>
        <w:t xml:space="preserve">2.5 | Phased intervetions</w:t>
      </w:r>
    </w:p>
    <w:p>
      <w:pPr>
        <w:pStyle w:val="FirstParagraph"/>
      </w:pPr>
      <w:r>
        <w:t xml:space="preserve">While a flat-jump-flat pattern for an interrupted time series is good news, you are still left with one concern. Did some other change, occurring at the exact same time as your intervention, interfere with your experiment?</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31" name="Picture"/>
            <a:graphic>
              <a:graphicData uri="http://schemas.openxmlformats.org/drawingml/2006/picture">
                <pic:pic>
                  <pic:nvPicPr>
                    <pic:cNvPr descr="experimentation-without-randomization_files/figure-docx/time-series-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If there are trends at the start, you have to work harder. The work, thankfully,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w:t>
      </w:r>
      <w:r>
        <w:rPr>
          <w:vertAlign w:val="superscript"/>
        </w:rPr>
        <w:t xml:space="preserve">7</w:t>
      </w:r>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33"/>
    <w:bookmarkStart w:id="37" w:name="withdrawal-design"/>
    <w:p>
      <w:pPr>
        <w:pStyle w:val="Heading2"/>
      </w:pPr>
      <w:r>
        <w:t xml:space="preserve">2.6 | 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w:t>
      </w:r>
      <w:r>
        <w:rPr>
          <w:vertAlign w:val="superscript"/>
        </w:rPr>
        <w:t xml:space="preserve">8</w:t>
      </w:r>
      <w:r>
        <w:t xml:space="preserve">.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the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5" name="Picture"/>
            <a:graphic>
              <a:graphicData uri="http://schemas.openxmlformats.org/drawingml/2006/picture">
                <pic:pic>
                  <pic:nvPicPr>
                    <pic:cNvPr descr="experimentation-without-randomization_files/figure-docx/time-series-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w:t>
      </w:r>
      <w:r>
        <w:rPr>
          <w:vertAlign w:val="superscript"/>
        </w:rPr>
        <w:t xml:space="preserve">9</w:t>
      </w:r>
      <w:r>
        <w:t xml:space="preserve"> </w:t>
      </w:r>
      <w:r>
        <w:t xml:space="preserve">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37"/>
    <w:bookmarkStart w:id="41" w:name="waiting-list-control-group"/>
    <w:p>
      <w:pPr>
        <w:pStyle w:val="Heading2"/>
      </w:pPr>
      <w:r>
        <w:t xml:space="preserve">2.7 | 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 are comparable at first measurement. The intervention jumps ahead at the second measurement, but the control group, getting the intervention after a waiting period catches back up.</w:t>
      </w:r>
    </w:p>
    <w:p>
      <w:pPr>
        <w:pStyle w:val="BodyText"/>
      </w:pPr>
      <w:r>
        <w:drawing>
          <wp:inline>
            <wp:extent cx="4620126" cy="3696101"/>
            <wp:effectExtent b="0" l="0" r="0" t="0"/>
            <wp:docPr descr="" title="" id="39" name="Picture"/>
            <a:graphic>
              <a:graphicData uri="http://schemas.openxmlformats.org/drawingml/2006/picture">
                <pic:pic>
                  <pic:nvPicPr>
                    <pic:cNvPr descr="experimentation-without-randomization_files/figure-docx/time-series-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 </w:t>
      </w:r>
      <w:r>
        <w:t xml:space="preserve">Figure 4.</w:t>
      </w:r>
    </w:p>
    <w:p>
      <w:pPr>
        <w:pStyle w:val="BodyText"/>
      </w:pPr>
      <w:r>
        <w:t xml:space="preserve">A study of dental care practices used an Internet driven educational intervention to encourage providers to ask about tobacco use and to advise any smokers so identified to stop smoking</w:t>
      </w:r>
      <w:r>
        <w:rPr>
          <w:vertAlign w:val="superscript"/>
        </w:rPr>
        <w:t xml:space="preserve">10</w:t>
      </w:r>
      <w:r>
        <w:t xml:space="preserve">.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End w:id="41"/>
    <w:bookmarkStart w:id="45" w:name="stepped-wedge-design"/>
    <w:p>
      <w:pPr>
        <w:pStyle w:val="Heading2"/>
      </w:pPr>
      <w:r>
        <w:t xml:space="preserve">2.8 | 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drawing>
          <wp:inline>
            <wp:extent cx="4620126" cy="3696101"/>
            <wp:effectExtent b="0" l="0" r="0" t="0"/>
            <wp:docPr descr="" title="" id="43" name="Picture"/>
            <a:graphic>
              <a:graphicData uri="http://schemas.openxmlformats.org/drawingml/2006/picture">
                <pic:pic>
                  <pic:nvPicPr>
                    <pic:cNvPr descr="experimentation-without-randomization_files/figure-docx/time-series-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Hypothetical outcome of a stepped wedge design</w:t>
      </w:r>
    </w:p>
    <w:p>
      <w:pPr>
        <w:pStyle w:val="BodyText"/>
      </w:pPr>
      <w:r>
        <w:t xml:space="preserve">A study at a large teaching hospital examined the effectiveness of a new care protocol that encouraged nurses to provide better oral health care to patients in their wards</w:t>
      </w:r>
      <w:r>
        <w:rPr>
          <w:vertAlign w:val="superscript"/>
        </w:rPr>
        <w:t xml:space="preserve">11</w:t>
      </w:r>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suggestion for this decline and suggested an evaluation of barriers and facilitators was needed.</w:t>
      </w:r>
    </w:p>
    <w:p>
      <w:pPr>
        <w:pStyle w:val="BodyText"/>
      </w:pPr>
      <w:r>
        <w:t xml:space="preserve">There are parallels and differences between the stepped wedge design and the interrupted time series design with multiple phases</w:t>
      </w:r>
      <w:r>
        <w:rPr>
          <w:vertAlign w:val="superscript"/>
        </w:rPr>
        <w:t xml:space="preserve">12</w:t>
      </w:r>
      <w:r>
        <w:t xml:space="preserve">. The former divides patients into random groups and allocates them at different times. The latter divides the intervention into phases and allocates the phases at different times.</w:t>
      </w:r>
    </w:p>
    <w:bookmarkEnd w:id="45"/>
    <w:bookmarkStart w:id="55" w:name="regression-discontinuity"/>
    <w:p>
      <w:pPr>
        <w:pStyle w:val="Heading2"/>
      </w:pPr>
      <w:r>
        <w:t xml:space="preserve">2.9 | 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where a qualifying variable is used to decide controls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Figures 6 through 8 shows a hypothetical setting for a regression discontinuity design. A qualifying variable shows a relationship to the outcome (Figure 6). Patients scoring below a threshold are assigned to the treatment (Figure 7). In this hypothetical dataset, the treatment lifts all patients by a small amount. Then only patients near the threshold are selected for the regression discontinuity study (Figure 8).</w:t>
      </w:r>
    </w:p>
    <w:p>
      <w:pPr>
        <w:pStyle w:val="BodyText"/>
      </w:pPr>
      <w:r>
        <w:drawing>
          <wp:inline>
            <wp:extent cx="5151549" cy="2575774"/>
            <wp:effectExtent b="0" l="0" r="0" t="0"/>
            <wp:docPr descr="" title="" id="47" name="Picture"/>
            <a:graphic>
              <a:graphicData uri="http://schemas.openxmlformats.org/drawingml/2006/picture">
                <pic:pic>
                  <pic:nvPicPr>
                    <pic:cNvPr descr="images/regression-discontinuity-01.png" id="48" name="Picture"/>
                    <pic:cNvPicPr>
                      <a:picLocks noChangeArrowheads="1" noChangeAspect="1"/>
                    </pic:cNvPicPr>
                  </pic:nvPicPr>
                  <pic:blipFill>
                    <a:blip r:embed="rId46"/>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6. Hypothetical data showing a relationship between a qualifying variable and a health outcome.</w:t>
      </w:r>
    </w:p>
    <w:p>
      <w:pPr>
        <w:pStyle w:val="BodyText"/>
      </w:pPr>
      <w:r>
        <w:drawing>
          <wp:inline>
            <wp:extent cx="5151549" cy="2575774"/>
            <wp:effectExtent b="0" l="0" r="0" t="0"/>
            <wp:docPr descr="" title="" id="50" name="Picture"/>
            <a:graphic>
              <a:graphicData uri="http://schemas.openxmlformats.org/drawingml/2006/picture">
                <pic:pic>
                  <pic:nvPicPr>
                    <pic:cNvPr descr="images/regression-discontinuity-02.png" id="51" name="Picture"/>
                    <pic:cNvPicPr>
                      <a:picLocks noChangeArrowheads="1" noChangeAspect="1"/>
                    </pic:cNvPicPr>
                  </pic:nvPicPr>
                  <pic:blipFill>
                    <a:blip r:embed="rId49"/>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7. Allocation of patients to the intervention based on the qualifying variable.</w:t>
      </w:r>
    </w:p>
    <w:p>
      <w:pPr>
        <w:pStyle w:val="BodyText"/>
      </w:pPr>
      <w:r>
        <w:drawing>
          <wp:inline>
            <wp:extent cx="5151549" cy="2575774"/>
            <wp:effectExtent b="0" l="0" r="0" t="0"/>
            <wp:docPr descr="" title="" id="53" name="Picture"/>
            <a:graphic>
              <a:graphicData uri="http://schemas.openxmlformats.org/drawingml/2006/picture">
                <pic:pic>
                  <pic:nvPicPr>
                    <pic:cNvPr descr="images/regression-discontinuity-03.png" id="54" name="Picture"/>
                    <pic:cNvPicPr>
                      <a:picLocks noChangeArrowheads="1" noChangeAspect="1"/>
                    </pic:cNvPicPr>
                  </pic:nvPicPr>
                  <pic:blipFill>
                    <a:blip r:embed="rId52"/>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8. Removal of patients at the extremes.</w:t>
      </w:r>
    </w:p>
    <w:p>
      <w:pPr>
        <w:pStyle w:val="BodyText"/>
      </w:pPr>
      <w:r>
        <w:t xml:space="preserve">A regression discontinuity design was used to examine the extent to which Medicaid dental coverage reduced difficulty in accessing dental care</w:t>
      </w:r>
      <w:r>
        <w:rPr>
          <w:vertAlign w:val="superscript"/>
        </w:rPr>
        <w:t xml:space="preserve">13</w:t>
      </w:r>
      <w:r>
        <w:t xml:space="preserve">.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55"/>
    <w:bookmarkStart w:id="56" w:name="discussion"/>
    <w:p>
      <w:pPr>
        <w:pStyle w:val="Heading2"/>
      </w:pPr>
      <w:r>
        <w:t xml:space="preserve">3 | DISCUSSION</w:t>
      </w:r>
    </w:p>
    <w:bookmarkEnd w:id="56"/>
    <w:bookmarkStart w:id="57" w:name="how-many-evaluation-points-do-you-need"/>
    <w:p>
      <w:pPr>
        <w:pStyle w:val="Heading2"/>
      </w:pPr>
      <w:r>
        <w:t xml:space="preserve">3.1 | 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 xml:space="preserve">14</w:t>
      </w:r>
      <w:r>
        <w:t xml:space="preserve"> </w:t>
      </w:r>
      <w:r>
        <w:t xml:space="preserve">(page 173), though, of 100 is almost certainly excessive. While such a sample size might be required for fine tuning the autoregressive terms, a model without such fine tuning should still be able to accurately identify when jumps in the time series occur.</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w:t>
      </w:r>
      <w:r>
        <w:rPr>
          <w:vertAlign w:val="superscript"/>
        </w:rPr>
        <w:t xml:space="preserve">15</w:t>
      </w:r>
      <w:r>
        <w:t xml:space="preserve">. The pattern observed in the single self-biting patient is quite revealing, where changes correspond precisely to the times when the intervention is added (or removed).</w:t>
      </w:r>
    </w:p>
    <w:bookmarkEnd w:id="57"/>
    <w:bookmarkStart w:id="58" w:name="X44cd3428253b90967c71fd6e9b3113f9c0a5f99"/>
    <w:p>
      <w:pPr>
        <w:pStyle w:val="Heading2"/>
      </w:pPr>
      <w:r>
        <w:t xml:space="preserve">3.2 | 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w:t>
      </w:r>
      <w:r>
        <w:rPr>
          <w:vertAlign w:val="superscript"/>
        </w:rPr>
        <w:t xml:space="preserve">16</w:t>
      </w:r>
      <w:r>
        <w:t xml:space="preserve">. In any case, the categorization of research designs is less important than the careful use of extra information that these designs provide you.</w:t>
      </w:r>
    </w:p>
    <w:p>
      <w:pPr>
        <w:pStyle w:val="BodyText"/>
      </w:pPr>
      <w:r>
        <w:t xml:space="preserve">Reporting guidelines for these research designs are limited</w:t>
      </w:r>
      <w:r>
        <w:rPr>
          <w:vertAlign w:val="superscript"/>
        </w:rPr>
        <w:t xml:space="preserve">17</w:t>
      </w:r>
      <w:r>
        <w:t xml:space="preserve">. The SQUIRE guidelines for quality improvement studies</w:t>
      </w:r>
      <w:r>
        <w:rPr>
          <w:vertAlign w:val="superscript"/>
        </w:rPr>
        <w:t xml:space="preserve">18</w:t>
      </w:r>
      <w:r>
        <w:t xml:space="preserve"> </w:t>
      </w:r>
      <w:r>
        <w:t xml:space="preserve">or possibly the TREND guidleines for nonrandomized evaluations</w:t>
      </w:r>
      <w:r>
        <w:rPr>
          <w:vertAlign w:val="superscript"/>
        </w:rPr>
        <w:t xml:space="preserve">19</w:t>
      </w:r>
      <w:r>
        <w:t xml:space="preserve"> </w:t>
      </w:r>
      <w:r>
        <w:t xml:space="preserve">may provide some limited guidance.</w:t>
      </w:r>
    </w:p>
    <w:bookmarkEnd w:id="58"/>
    <w:bookmarkStart w:id="59" w:name="conclusion"/>
    <w:p>
      <w:pPr>
        <w:pStyle w:val="Heading2"/>
      </w:pPr>
      <w:r>
        <w:t xml:space="preserve">4 | Conclusion</w:t>
      </w:r>
    </w:p>
    <w:p>
      <w:pPr>
        <w:pStyle w:val="FirstParagraph"/>
      </w:pPr>
      <w:r>
        <w:t xml:space="preserve">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Don’t eliminate randomization, of course, as a method in your research toolbox. A randomized controlled trial is great if it is easy to apply individually and if the the individual patients (and their care providers) are willing to accept it.</w:t>
      </w:r>
    </w:p>
    <w:bookmarkEnd w:id="59"/>
    <w:bookmarkStart w:id="60" w:name="bibliography"/>
    <w:p>
      <w:pPr>
        <w:pStyle w:val="Heading2"/>
      </w:pPr>
      <w:r>
        <w:t xml:space="preserve">Bibliography</w:t>
      </w:r>
    </w:p>
    <w:p>
      <w:pPr>
        <w:numPr>
          <w:ilvl w:val="0"/>
          <w:numId w:val="1001"/>
        </w:numPr>
      </w:pPr>
      <w:r>
        <w:t xml:space="preserve">Pandis N, Tu YK, Fleming PS, Polychronopoulou A. Randomized and nonrandomized studies: complementary or competing?</w:t>
      </w:r>
      <w:r>
        <w:t xml:space="preserve"> </w:t>
      </w:r>
      <w:r>
        <w:rPr>
          <w:iCs/>
          <w:i/>
        </w:rPr>
        <w:t xml:space="preserve">Am J Orthod Dentofacial Orthop</w:t>
      </w:r>
      <w:r>
        <w:t xml:space="preserve">. 2014 Nov;146(5):633-40. doi: 10.1016/j.ajodo.2014.08.002. Epub 2014 Oct 28. PMID: 25439214.</w:t>
      </w:r>
    </w:p>
    <w:p>
      <w:pPr>
        <w:numPr>
          <w:ilvl w:val="0"/>
          <w:numId w:val="1001"/>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w:t>
      </w:r>
      <w:r>
        <w:t xml:space="preserve"> </w:t>
      </w:r>
      <w:r>
        <w:rPr>
          <w:iCs/>
          <w:i/>
        </w:rPr>
        <w:t xml:space="preserve">J Pers Med</w:t>
      </w:r>
      <w:r>
        <w:t xml:space="preserve">. 2023 Nov; 13(11): 1603. doi: 10.3390/jpm13111603.</w:t>
      </w:r>
    </w:p>
    <w:p>
      <w:pPr>
        <w:numPr>
          <w:ilvl w:val="0"/>
          <w:numId w:val="1001"/>
        </w:numPr>
      </w:pPr>
      <w:r>
        <w:t xml:space="preserve">Ohbayashi Y, Imataki O, Uemura M, Takeuchi A, Aoki S, Tanaka M, Nakai Y, Nakai F, Miyake M. Oral microorganisms and bloodstream infection in allogeneic hematopoietic stem cell transplantation.</w:t>
      </w:r>
      <w:r>
        <w:t xml:space="preserve"> </w:t>
      </w:r>
      <w:r>
        <w:rPr>
          <w:iCs/>
          <w:i/>
        </w:rPr>
        <w:t xml:space="preserve">Clin Oral Investig</w:t>
      </w:r>
      <w:r>
        <w:t xml:space="preserve">. 2021 Jul;25(7):4359-4367. doi: 10.1007/s00784-020-03749-9.</w:t>
      </w:r>
    </w:p>
    <w:p>
      <w:pPr>
        <w:numPr>
          <w:ilvl w:val="0"/>
          <w:numId w:val="1001"/>
        </w:numPr>
      </w:pPr>
      <w:r>
        <w:t xml:space="preserve">Kim SY, Shin D, Kim HJ, Karm MH. Changes of knowledge and practical skills before and after retraining for basic life support: Focused on students of Dental School.</w:t>
      </w:r>
      <w:r>
        <w:t xml:space="preserve"> </w:t>
      </w:r>
      <w:r>
        <w:rPr>
          <w:iCs/>
          <w:i/>
        </w:rPr>
        <w:t xml:space="preserve">Int J Med Sci</w:t>
      </w:r>
      <w:r>
        <w:t xml:space="preserve">. 2020 Oct 22;17(18):3082-3090. doi: 10.7150/ijms.47343.</w:t>
      </w:r>
    </w:p>
    <w:p>
      <w:pPr>
        <w:numPr>
          <w:ilvl w:val="0"/>
          <w:numId w:val="1001"/>
        </w:numPr>
      </w:pPr>
      <w:r>
        <w:t xml:space="preserve">Campbell, DT.</w:t>
      </w:r>
      <w:r>
        <w:t xml:space="preserve"> </w:t>
      </w:r>
      <w:r>
        <w:rPr>
          <w:iCs/>
          <w:i/>
        </w:rPr>
        <w:t xml:space="preserve">Methodology and epistemology for social science: Selected papers</w:t>
      </w:r>
      <w:r>
        <w:t xml:space="preserve">. (E. S. Overman, Ed.). University of Chicago Press, 1988.</w:t>
      </w:r>
    </w:p>
    <w:p>
      <w:pPr>
        <w:numPr>
          <w:ilvl w:val="0"/>
          <w:numId w:val="1001"/>
        </w:numPr>
      </w:pPr>
      <w:r>
        <w:t xml:space="preserve">Timm LH, Farrag G, Wolf D, Baxmann M, Schwendicke F. Effect of electronic reminders on patients’ compliance during clear aligner treatment: an interrupted time series study.</w:t>
      </w:r>
      <w:r>
        <w:t xml:space="preserve"> </w:t>
      </w:r>
      <w:r>
        <w:rPr>
          <w:iCs/>
          <w:i/>
        </w:rPr>
        <w:t xml:space="preserve">Sci Rep</w:t>
      </w:r>
      <w:r>
        <w:t xml:space="preserve">. 2022 Oct 5;12(1):16652. doi: 10.1038/s41598-022-20820-5.</w:t>
      </w:r>
    </w:p>
    <w:p>
      <w:pPr>
        <w:numPr>
          <w:ilvl w:val="0"/>
          <w:numId w:val="1001"/>
        </w:numPr>
      </w:pPr>
      <w:r>
        <w:t xml:space="preserve">Atia J, Evison F, Gallier S, et al. Effectiveness of clinical decision support in controlling inappropriate red blood cell and platelet transfusions, speciality specific responses and behavioural change.</w:t>
      </w:r>
      <w:r>
        <w:t xml:space="preserve"> </w:t>
      </w:r>
      <w:r>
        <w:rPr>
          <w:iCs/>
          <w:i/>
        </w:rPr>
        <w:t xml:space="preserve">BMC Med Inform Decis Mak</w:t>
      </w:r>
      <w:r>
        <w:t xml:space="preserve">. 2022 Dec 29;22(1):342. doi: 10.1186/s12911-022-02045-8.</w:t>
      </w:r>
    </w:p>
    <w:p>
      <w:pPr>
        <w:numPr>
          <w:ilvl w:val="0"/>
          <w:numId w:val="1001"/>
        </w:numPr>
      </w:pPr>
      <w:r>
        <w:t xml:space="preserve">Zimbardo P.</w:t>
      </w:r>
      <w:r>
        <w:t xml:space="preserve"> </w:t>
      </w:r>
      <w:r>
        <w:rPr>
          <w:iCs/>
          <w:i/>
        </w:rPr>
        <w:t xml:space="preserve">The Lucifer Effect: Understanding How Good People Turn Evil</w:t>
      </w:r>
      <w:r>
        <w:t xml:space="preserve">. Random House 2008.</w:t>
      </w:r>
    </w:p>
    <w:p>
      <w:pPr>
        <w:numPr>
          <w:ilvl w:val="0"/>
          <w:numId w:val="1001"/>
        </w:numPr>
      </w:pPr>
      <w:r>
        <w:t xml:space="preserve">Jones KM, Swearer SM, Friman PC. Relax and try this instead: abbreviated habit reversal for maladaptive self-biting.</w:t>
      </w:r>
      <w:r>
        <w:t xml:space="preserve"> </w:t>
      </w:r>
      <w:r>
        <w:rPr>
          <w:iCs/>
          <w:i/>
        </w:rPr>
        <w:t xml:space="preserve">J Appl Behav Anal</w:t>
      </w:r>
      <w:r>
        <w:t xml:space="preserve">. 1997 Winter;30(4):697-9. doi: 10.1901/jaba.1997.30-697.</w:t>
      </w:r>
    </w:p>
    <w:p>
      <w:pPr>
        <w:numPr>
          <w:ilvl w:val="0"/>
          <w:numId w:val="1001"/>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w:t>
      </w:r>
      <w:r>
        <w:t xml:space="preserve"> </w:t>
      </w:r>
      <w:r>
        <w:rPr>
          <w:iCs/>
          <w:i/>
        </w:rPr>
        <w:t xml:space="preserve">BMC Health Serv Res</w:t>
      </w:r>
      <w:r>
        <w:t xml:space="preserve">. 2008 May 8;8:100. doi: 10.1186/1472-6963-8-100.</w:t>
      </w:r>
    </w:p>
    <w:p>
      <w:pPr>
        <w:numPr>
          <w:ilvl w:val="0"/>
          <w:numId w:val="1001"/>
        </w:numPr>
      </w:pPr>
      <w:r>
        <w:t xml:space="preserve">Schafthuizen L, Spruit-Bentvelzen L, van Dijk M, van Rosmalen J, Ista E. Implementation of a nursing oral health care protocol in a university teaching hospital: A cluster-randomized stepped-wedge design.</w:t>
      </w:r>
      <w:r>
        <w:t xml:space="preserve"> </w:t>
      </w:r>
      <w:r>
        <w:rPr>
          <w:iCs/>
          <w:i/>
        </w:rPr>
        <w:t xml:space="preserve">Int J Dent Hyg</w:t>
      </w:r>
      <w:r>
        <w:t xml:space="preserve">. 2023 Sep 18. doi: 10.1111/idh.12748.</w:t>
      </w:r>
    </w:p>
    <w:p>
      <w:pPr>
        <w:numPr>
          <w:ilvl w:val="0"/>
          <w:numId w:val="1001"/>
        </w:numPr>
      </w:pPr>
      <w:r>
        <w:t xml:space="preserve">Fok CC, Henry D, Allen J. Research Designs for Intervention Research with Small Samples II: Stepped Wedge and Interrupted Time-Series Designs.</w:t>
      </w:r>
      <w:r>
        <w:t xml:space="preserve"> </w:t>
      </w:r>
      <w:r>
        <w:rPr>
          <w:iCs/>
          <w:i/>
        </w:rPr>
        <w:t xml:space="preserve">Prev Sci</w:t>
      </w:r>
      <w:r>
        <w:t xml:space="preserve">. 2015 Oct;16(7):967-77. doi: 10.1007/s11121-015-0569-4.</w:t>
      </w:r>
    </w:p>
    <w:p>
      <w:pPr>
        <w:numPr>
          <w:ilvl w:val="0"/>
          <w:numId w:val="1001"/>
        </w:numPr>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w:t>
      </w:r>
      <w:r>
        <w:t xml:space="preserve"> </w:t>
      </w:r>
      <w:r>
        <w:rPr>
          <w:iCs/>
          <w:i/>
        </w:rPr>
        <w:t xml:space="preserve">Health Serv Res</w:t>
      </w:r>
      <w:r>
        <w:t xml:space="preserve">. 2023 Jun;58(3):589-598. doi: 10.1111/1475-6773.13981.</w:t>
      </w:r>
    </w:p>
    <w:p>
      <w:pPr>
        <w:numPr>
          <w:ilvl w:val="0"/>
          <w:numId w:val="1001"/>
        </w:numPr>
      </w:pPr>
      <w:r>
        <w:t xml:space="preserve">Shadish WR, Cook TD, Campbell DT.</w:t>
      </w:r>
      <w:r>
        <w:t xml:space="preserve"> </w:t>
      </w:r>
      <w:r>
        <w:rPr>
          <w:iCs/>
          <w:i/>
        </w:rPr>
        <w:t xml:space="preserve">Experimental and quasi-experimental designs for generalized causal inference</w:t>
      </w:r>
      <w:r>
        <w:t xml:space="preserve">. Houghton, Mifflin and Company, 2002.</w:t>
      </w:r>
    </w:p>
    <w:p>
      <w:pPr>
        <w:numPr>
          <w:ilvl w:val="0"/>
          <w:numId w:val="1001"/>
        </w:numPr>
      </w:pPr>
      <w:r>
        <w:t xml:space="preserve">Davidson KW, Silverstein M, Cheung K, Paluch RA, Epstein LH. Experimental Designs to Optimize Treatments for Individuals: Personalized N-of-1 Trials.</w:t>
      </w:r>
      <w:r>
        <w:t xml:space="preserve"> </w:t>
      </w:r>
      <w:r>
        <w:rPr>
          <w:iCs/>
          <w:i/>
        </w:rPr>
        <w:t xml:space="preserve">JAMA Pediatr</w:t>
      </w:r>
      <w:r>
        <w:t xml:space="preserve">. 2021 Apr 1;175(4):404-409. doi: 10.1001/jamapediatrics.2020.5801.</w:t>
      </w:r>
    </w:p>
    <w:p>
      <w:pPr>
        <w:numPr>
          <w:ilvl w:val="0"/>
          <w:numId w:val="1001"/>
        </w:numPr>
      </w:pPr>
      <w:r>
        <w:t xml:space="preserve">Reeves BC, Wells GA, Waddington H. Quasi-experimental study designs series-paper 5: a checklist for classifying studies evaluating the effects on health interventions-a taxonomy without labels.</w:t>
      </w:r>
      <w:r>
        <w:t xml:space="preserve"> </w:t>
      </w:r>
      <w:r>
        <w:rPr>
          <w:iCs/>
          <w:i/>
        </w:rPr>
        <w:t xml:space="preserve">J Clin Epidemiol</w:t>
      </w:r>
      <w:r>
        <w:t xml:space="preserve">. 2017 Sep;89:30-42. doi: 10.1016/j.jclinepi.2017.02.016.</w:t>
      </w:r>
    </w:p>
    <w:p>
      <w:pPr>
        <w:numPr>
          <w:ilvl w:val="0"/>
          <w:numId w:val="1001"/>
        </w:numPr>
      </w:pPr>
      <w:r>
        <w:t xml:space="preserve">Hategeka C, Ruton H, Karamouzian M, Lynd LD, Law MR. Use of interrupted time series methods in the evaluation of health system quality improvement interventions: a methodological systematic review.</w:t>
      </w:r>
      <w:r>
        <w:t xml:space="preserve"> </w:t>
      </w:r>
      <w:r>
        <w:rPr>
          <w:iCs/>
          <w:i/>
        </w:rPr>
        <w:t xml:space="preserve">BMJ Glob Health</w:t>
      </w:r>
      <w:r>
        <w:t xml:space="preserve">. 2020 Oct;5(10):e003567. doi: 10.1136/bmjgh-2020-003567.</w:t>
      </w:r>
    </w:p>
    <w:p>
      <w:pPr>
        <w:numPr>
          <w:ilvl w:val="0"/>
          <w:numId w:val="1001"/>
        </w:numPr>
      </w:pPr>
      <w:r>
        <w:t xml:space="preserve">Ogrinc G, Davies L, Goodman D, Batalden P, Davidoff F, Stevens D. SQUIRE 2.0 (Standards for QUality Improvement Reporting Excellence): revised publication guidelines from a detailed consensus process.</w:t>
      </w:r>
      <w:r>
        <w:t xml:space="preserve"> </w:t>
      </w:r>
      <w:r>
        <w:rPr>
          <w:iCs/>
          <w:i/>
        </w:rPr>
        <w:t xml:space="preserve">BMJ Qual Saf</w:t>
      </w:r>
      <w:r>
        <w:t xml:space="preserve">. 2016 Dec;25(12):986-992. doi: 10.1136/bmjqs-2015-004411.</w:t>
      </w:r>
    </w:p>
    <w:p>
      <w:pPr>
        <w:numPr>
          <w:ilvl w:val="0"/>
          <w:numId w:val="1001"/>
        </w:numPr>
      </w:pPr>
      <w:r>
        <w:t xml:space="preserve">Des Jarlais DC, Lyles C, Crepaz N, Trend Group. Improving the reporting quality of nonrandomized evaluations of behavioral and public health interventions: the TREND statement.</w:t>
      </w:r>
      <w:r>
        <w:t xml:space="preserve"> </w:t>
      </w:r>
      <w:r>
        <w:rPr>
          <w:iCs/>
          <w:i/>
        </w:rPr>
        <w:t xml:space="preserve">Am J Public Health</w:t>
      </w:r>
      <w:r>
        <w:t xml:space="preserve">. 2004;94(3):361-366. doi: 10.2105/ajph.94.3.361</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2024-08-01T23:09:45Z</dcterms:created>
  <dcterms:modified xsi:type="dcterms:W3CDTF">2024-08-01T23:09:45Z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