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randomization</w:t>
      </w:r>
      <w:r>
        <w:t xml:space="preserve"> </w:t>
      </w:r>
      <w:r>
        <w:t xml:space="preserve">of</w:t>
      </w:r>
      <w:r>
        <w:t xml:space="preserve"> </w:t>
      </w:r>
      <w:r>
        <w:t xml:space="preserve">individual</w:t>
      </w:r>
      <w:r>
        <w:t xml:space="preserve"> </w:t>
      </w:r>
      <w:r>
        <w:t xml:space="preserve">patients</w:t>
      </w:r>
    </w:p>
    <w:bookmarkStart w:id="20" w:name="introduction"/>
    <w:p>
      <w:pPr>
        <w:pStyle w:val="Heading2"/>
      </w:pPr>
      <w:r>
        <w:t xml:space="preserve">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Any time you have sufficient control to select who gets the treatment and who gets the control, you should always consider individual randomization when planning a study.</w:t>
      </w:r>
    </w:p>
    <w:p>
      <w:pPr>
        <w:pStyle w:val="BodyText"/>
      </w:pPr>
      <w:r>
        <w:t xml:space="preserve">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It sounds good, but there are times when you should reject individual randomization in favor of some non-randomized alternatives. I’m a professional statistician and it may seem to you like a betrayal of everything I’ve learned. I’m sorry if you feel that way, but I do strongly believe that sometimes (but only sometimes) abandoning randomization is the best course of action.</w:t>
      </w:r>
    </w:p>
    <w:p>
      <w:pPr>
        <w:pStyle w:val="BodyText"/>
      </w:pPr>
      <w:r>
        <w:t xml:space="preserve">Randomization is not all it’s cracked up to be. 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People who provide dental care don’t want to randomly switch back and forth between two different treatment protocols.</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Now there are some settings where randomization is just flat out impossible. In these settings, you use all the approaches developed for observational designs.</w:t>
      </w:r>
    </w:p>
    <w:p>
      <w:pPr>
        <w:pStyle w:val="BodyText"/>
      </w:pPr>
      <w:r>
        <w:t xml:space="preserve">There is a middle ground, however, between randomized designs and observational designs. You have the ability to assign patients to receive a treatment or not, but you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0"/>
    <w:bookmarkStart w:id="21" w:name="the-infamous-historical-control"/>
    <w:p>
      <w:pPr>
        <w:pStyle w:val="Heading2"/>
      </w:pPr>
      <w:r>
        <w:t xml:space="preserve">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 or a before and after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 (Nishi 2023) compared the treatment with low-level laser therapy of 21 patients with Oral Mucositis from December 2022 to September 2023 to 96 control patients recruited from another study (Ohbayashi 2021) 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w:t>
      </w:r>
    </w:p>
    <w:p>
      <w:pPr>
        <w:pStyle w:val="BodyText"/>
      </w:pPr>
      <w:r>
        <w:t xml:space="preserve">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bookmarkEnd w:id="21"/>
    <w:bookmarkStart w:id="22" w:name="quasi-experiments-to-the-rescue"/>
    <w:p>
      <w:pPr>
        <w:pStyle w:val="Heading2"/>
      </w:pPr>
      <w:r>
        <w:t xml:space="preserve">Quasi-experiments to the rescue</w:t>
      </w:r>
    </w:p>
    <w:p>
      <w:pPr>
        <w:pStyle w:val="FirstParagraph"/>
      </w:pPr>
      <w:r>
        <w:t xml:space="preserve">You can improve the credibility of studies where the treatment and control groups are separated by time. These are not perfect studies. There are no perfect studies. They can compete, however, on an even playing field with randomized studies. They can provide evidence that is almost as persuasive, as a randomized trial and don’t suffer from the well-known limitations of randomized trials.</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 (Campbell 1988)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2"/>
    <w:bookmarkStart w:id="26" w:name="interrupted-time-series"/>
    <w:p>
      <w:pPr>
        <w:pStyle w:val="Heading2"/>
      </w:pPr>
      <w:r>
        <w:t xml:space="preserve">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4" name="Picture"/>
            <a:graphic>
              <a:graphicData uri="http://schemas.openxmlformats.org/drawingml/2006/picture">
                <pic:pic>
                  <pic:nvPicPr>
                    <pic:cNvPr descr="experimentation-without-randomization_files/figure-docx/time-series-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 (Timm 2022) 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6"/>
    <w:bookmarkStart w:id="30" w:name="phased-intervetions"/>
    <w:p>
      <w:pPr>
        <w:pStyle w:val="Heading2"/>
      </w:pPr>
      <w:r>
        <w:t xml:space="preserve">Phased intervetions</w:t>
      </w:r>
    </w:p>
    <w:p>
      <w:pPr>
        <w:pStyle w:val="FirstParagraph"/>
      </w:pPr>
      <w:r>
        <w:t xml:space="preserve">While a flat-jump-flat pattern for an interrupted time series is good news, you are still left with one concern. Did some other change, occurring at the same time as your intervention, interfere with your experiment? It could work both ways. It could produce a false positive result or it could mask something real.</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28" name="Picture"/>
            <a:graphic>
              <a:graphicData uri="http://schemas.openxmlformats.org/drawingml/2006/picture">
                <pic:pic>
                  <pic:nvPicPr>
                    <pic:cNvPr descr="experimentation-without-randomization_files/figure-docx/time-series-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You have to work harder if there are trends, but the work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 (Atia 2022).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 significant drops at some but not all of the intervention times. The results also varied by the type of clinic.</w:t>
      </w:r>
    </w:p>
    <w:p>
      <w:pPr>
        <w:pStyle w:val="BodyText"/>
      </w:pPr>
      <w:r>
        <w:t xml:space="preserve">This will always be an issue with this type of design. A flat-jump-flat-jump-flat pattern is very persuasive positive evidence. A pattern with no jumps and no changes in trend is very persuasive negative evidence. But when you see a jump at only one of the three intervention points, it could be a negative finding or it could represent an intervention where only one of the three phases was effective.</w:t>
      </w:r>
    </w:p>
    <w:bookmarkEnd w:id="30"/>
    <w:bookmarkStart w:id="34" w:name="withdrawal-design"/>
    <w:p>
      <w:pPr>
        <w:pStyle w:val="Heading2"/>
      </w:pPr>
      <w:r>
        <w:t xml:space="preserve">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p>
    <w:p>
      <w:pPr>
        <w:pStyle w:val="BodyText"/>
      </w:pPr>
      <w:r>
        <w:t xml:space="preserve">He described an experiment (not his infamous prison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2" name="Picture"/>
            <a:graphic>
              <a:graphicData uri="http://schemas.openxmlformats.org/drawingml/2006/picture">
                <pic:pic>
                  <pic:nvPicPr>
                    <pic:cNvPr descr="experimentation-without-randomization_files/figure-docx/time-series-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 (Jones 1997)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be a simple historical control study. How do you know that the problem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4"/>
    <w:bookmarkStart w:id="44" w:name="regression-discontinuity"/>
    <w:p>
      <w:pPr>
        <w:pStyle w:val="Heading2"/>
      </w:pPr>
      <w:r>
        <w:t xml:space="preserve">Regression discontinuity</w:t>
      </w:r>
    </w:p>
    <w:p>
      <w:pPr>
        <w:pStyle w:val="FirstParagraph"/>
      </w:pPr>
      <w:r>
        <w:t xml:space="preserve">Sometimes you might have a qualifying variable, a potential confounding variable that is used to decide controls who gets the intervention.</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The worst patients get the intervention? Surely any effect of the intervention will be masked by this lopsided allocation.</w:t>
      </w:r>
    </w:p>
    <w:p>
      <w:pPr>
        <w:pStyle w:val="BodyText"/>
      </w:pPr>
      <w:r>
        <w:t xml:space="preserve">The secret to a regression discontinuity design is that you compare patients on either side of the dividing line and ignore the patients at the extremes.</w:t>
      </w:r>
    </w:p>
    <w:p>
      <w:pPr>
        <w:pStyle w:val="BodyText"/>
      </w:pPr>
      <w:r>
        <w:t xml:space="preserve">Of course,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4 through 6 shows a hypothetical setting for a regression discontinuity design. A potential confounding variable shows a relationship to the outcome (Figure 4). Patients scoring below a threshold are assigned to the treatment (Figure 5). In this hypothetical dataset, the treatment lifts all patients by a small amount. Then only patients near the threshold are selected for the regression discontinuity study (Figure 6).</w:t>
      </w:r>
    </w:p>
    <w:p>
      <w:pPr>
        <w:pStyle w:val="BodyText"/>
      </w:pPr>
      <w:r>
        <w:drawing>
          <wp:inline>
            <wp:extent cx="5151549" cy="2575774"/>
            <wp:effectExtent b="0" l="0" r="0" t="0"/>
            <wp:docPr descr="" title="" id="36" name="Picture"/>
            <a:graphic>
              <a:graphicData uri="http://schemas.openxmlformats.org/drawingml/2006/picture">
                <pic:pic>
                  <pic:nvPicPr>
                    <pic:cNvPr descr="images/regression-discontinuity-01.png" id="37" name="Picture"/>
                    <pic:cNvPicPr>
                      <a:picLocks noChangeArrowheads="1" noChangeAspect="1"/>
                    </pic:cNvPicPr>
                  </pic:nvPicPr>
                  <pic:blipFill>
                    <a:blip r:embed="rId35"/>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5. Allocation of patients to the intervention based on the qualifying variable.</w:t>
      </w:r>
    </w:p>
    <w:p>
      <w:pPr>
        <w:pStyle w:val="BodyText"/>
      </w:pPr>
      <w:r>
        <w:drawing>
          <wp:inline>
            <wp:extent cx="5151549" cy="2575774"/>
            <wp:effectExtent b="0" l="0" r="0" t="0"/>
            <wp:docPr descr="" title="" id="39" name="Picture"/>
            <a:graphic>
              <a:graphicData uri="http://schemas.openxmlformats.org/drawingml/2006/picture">
                <pic:pic>
                  <pic:nvPicPr>
                    <pic:cNvPr descr="images/regression-discontinuity-02.png" id="40" name="Picture"/>
                    <pic:cNvPicPr>
                      <a:picLocks noChangeArrowheads="1" noChangeAspect="1"/>
                    </pic:cNvPicPr>
                  </pic:nvPicPr>
                  <pic:blipFill>
                    <a:blip r:embed="rId38"/>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4. Hypothetical data showing a relationship between a potential confounding variable and a health outcome.</w:t>
      </w:r>
    </w:p>
    <w:p>
      <w:pPr>
        <w:pStyle w:val="BodyText"/>
      </w:pPr>
      <w:r>
        <w:drawing>
          <wp:inline>
            <wp:extent cx="5151549" cy="2575774"/>
            <wp:effectExtent b="0" l="0" r="0" t="0"/>
            <wp:docPr descr="" title="" id="42" name="Picture"/>
            <a:graphic>
              <a:graphicData uri="http://schemas.openxmlformats.org/drawingml/2006/picture">
                <pic:pic>
                  <pic:nvPicPr>
                    <pic:cNvPr descr="images/regression-discontinuity-03.png" id="43" name="Picture"/>
                    <pic:cNvPicPr>
                      <a:picLocks noChangeArrowheads="1" noChangeAspect="1"/>
                    </pic:cNvPicPr>
                  </pic:nvPicPr>
                  <pic:blipFill>
                    <a:blip r:embed="rId41"/>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Removal of patients at the extremes.</w:t>
      </w:r>
    </w:p>
    <w:p>
      <w:pPr>
        <w:pStyle w:val="BodyText"/>
      </w:pPr>
      <w:r>
        <w:t xml:space="preserve">A regression discontinuity design was used to examine the extent to which Medicaid dental coverage reduced difficulty in accessing dental care (Roberts 2023).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44"/>
    <w:bookmarkStart w:id="45" w:name="how-many-evaluation-points-do-you-need"/>
    <w:p>
      <w:pPr>
        <w:pStyle w:val="Heading2"/>
      </w:pPr>
      <w:r>
        <w:t xml:space="preserve">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correlations among the time measurements, a much larger sample (25 or 50) might be needed.</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 (Davidson 2020). The pattern observed in the single self-biting patient is quite revealing, where changes correspond precisely to the times when the intervention is added (or removed).</w:t>
      </w:r>
    </w:p>
    <w:bookmarkEnd w:id="45"/>
    <w:bookmarkStart w:id="46" w:name="quote"/>
    <w:p>
      <w:pPr>
        <w:pStyle w:val="Heading2"/>
      </w:pPr>
      <w:r>
        <w:t xml:space="preserve">Quote</w:t>
      </w:r>
    </w:p>
    <w:p>
      <w:pPr>
        <w:pStyle w:val="FirstParagraph"/>
      </w:pPr>
      <w:r>
        <w:t xml:space="preserve">“</w:t>
      </w:r>
      <w:r>
        <w:t xml:space="preserve">Of course, from the quasi-experimental perspective, just as from that of physical science methodology, it is obvious that moving out into the real world increases the number of plausible rival hypotheses. Experiments move to quasi-experiemtns and on into queasy experiments, all too easily.</w:t>
      </w:r>
      <w:r>
        <w:t xml:space="preserve">”</w:t>
      </w:r>
      <w:r>
        <w:t xml:space="preserve"> </w:t>
      </w:r>
      <w:r>
        <w:t xml:space="preserve">Donald T. Campbell, in Methodology and Epistemology for Social Science: Selected Papers, page 322.</w:t>
      </w:r>
    </w:p>
    <w:bookmarkEnd w:id="46"/>
    <w:bookmarkStart w:id="47" w:name="bibliography"/>
    <w:p>
      <w:pPr>
        <w:pStyle w:val="Heading2"/>
      </w:pPr>
      <w:r>
        <w:t xml:space="preserve">Bibliography</w:t>
      </w:r>
    </w:p>
    <w:p>
      <w:pPr>
        <w:pStyle w:val="FirstParagraph"/>
      </w:pPr>
      <w:r>
        <w:t xml:space="preserve">Atia J, Evison F, Gallier S, Pettler S, Garrick M, Ball S, Lester W, Morton S, Coleman J, Pankhurst T. Effectiveness of clinical decision support in controlling inappropriate red blood cell and platelet transfusions, speciality specific responses and behavioural change. BMC Med Inform Decis Mak. 2022 Dec 29;22(1):342. doi: 10.1186/s12911-022-02045-8. PMID: 36581868; PMCID: PMC9798655.</w:t>
      </w:r>
    </w:p>
    <w:p>
      <w:pPr>
        <w:pStyle w:val="BodyText"/>
      </w:pPr>
      <w:r>
        <w:t xml:space="preserve">Hiromi Nishi, Susumu Horikoshi, Tetsumi Yoshida, Noriyasu Fukushima, Kyoko Oshita, Syuichi Munenaga, Taro Edahiro, Hiroshi Ureshino, Hideo Shigeishi, Yukio Yoshioka, Masaru Konishi, Noriaki Ide, Yuma Ogawa, Rikou Marukawa, Tomoaki Shintani, Natumi Ino, Mikihito Kajiya, Naoya Kakimoto, Hiroki Ohge, Tatsuo Ichinohe, and Hiroyuki Kawaguchi. Efficacy of Low-Level Laser Therapy for Oral Mucositis in Hematologic Patients Undergoing Transplantation: A Single-Arm Prospective Study. J Pers Med. 2023 Nov; 13(11): 1603. doi: 10.3390/jpm13111603. PMCID: PMC10672422. PMID: 38003918.</w:t>
      </w:r>
    </w:p>
    <w:p>
      <w:pPr>
        <w:pStyle w:val="BodyText"/>
      </w:pPr>
      <w:r>
        <w:t xml:space="preserve">Ohbayashi Y, Imataki O, Uemura M, Takeuchi A, Aoki S, Tanaka M, Nakai Y, Nakai F, Miyake M. Oral microorganisms and bloodstream infection in allogeneic hematopoietic stem cell transplantation. Clin Oral Investig. 2021 Jul;25(7):4359-4367. doi: 10.1007/s00784-020-03749-9. PMID: 33392808.</w:t>
      </w:r>
    </w:p>
    <w:p>
      <w:pPr>
        <w:pStyle w:val="BodyText"/>
      </w:pPr>
      <w:r>
        <w:t xml:space="preserve">Davidson KW, Silverstein M, Cheung K, Paluch RA, Epstein LH. Experimental Designs to Optimize Treatments for Individuals: Personalized N-of-1 Trials. JAMA Pediatr. 2021 Apr 1;175(4):404-409. doi: 10.1001/jamapediatrics.2020.5801. PMID: 33587109; PMCID: PMC8351788.</w:t>
      </w:r>
    </w:p>
    <w:p>
      <w:pPr>
        <w:pStyle w:val="BodyText"/>
      </w:pPr>
      <w:r>
        <w:t xml:space="preserve">The Lucifer Effect: Understanding How Good People Turn Evil, by Philip Zimbardo.</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randomization of individual patients</dc:title>
  <dc:creator/>
  <cp:keywords/>
  <dcterms:created xsi:type="dcterms:W3CDTF">2024-03-26T18:21:14Z</dcterms:created>
  <dcterms:modified xsi:type="dcterms:W3CDTF">2024-03-26T18:21:14Z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