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3.png" ContentType="image/png"/>
  <Override PartName="/word/media/rId37.png" ContentType="image/png"/>
  <Override PartName="/word/media/rId41.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randomized</w:t>
      </w:r>
      <w:r>
        <w:t xml:space="preserve"> </w:t>
      </w:r>
      <w:r>
        <w:t xml:space="preserve">controls</w:t>
      </w:r>
    </w:p>
    <w:p>
      <w:pPr>
        <w:pStyle w:val="FirstParagraph"/>
      </w:pPr>
      <w:r>
        <w:t xml:space="preserve">Graphical abstract</w:t>
      </w:r>
    </w:p>
    <w:p>
      <w:pPr>
        <w:pStyle w:val="BodyText"/>
      </w:pPr>
      <w:r>
        <w:drawing>
          <wp:inline>
            <wp:extent cx="5334000" cy="4340480"/>
            <wp:effectExtent b="0" l="0" r="0" t="0"/>
            <wp:docPr descr="" title="" id="21" name="Picture"/>
            <a:graphic>
              <a:graphicData uri="http://schemas.openxmlformats.org/drawingml/2006/picture">
                <pic:pic>
                  <pic:nvPicPr>
                    <pic:cNvPr descr="images/graphical-abstract.png" id="22" name="Picture"/>
                    <pic:cNvPicPr>
                      <a:picLocks noChangeArrowheads="1" noChangeAspect="1"/>
                    </pic:cNvPicPr>
                  </pic:nvPicPr>
                  <pic:blipFill>
                    <a:blip r:embed="rId20"/>
                    <a:stretch>
                      <a:fillRect/>
                    </a:stretch>
                  </pic:blipFill>
                  <pic:spPr bwMode="auto">
                    <a:xfrm>
                      <a:off x="0" y="0"/>
                      <a:ext cx="5334000" cy="4340480"/>
                    </a:xfrm>
                    <a:prstGeom prst="rect">
                      <a:avLst/>
                    </a:prstGeom>
                    <a:noFill/>
                    <a:ln w="9525">
                      <a:noFill/>
                      <a:headEnd/>
                      <a:tailEnd/>
                    </a:ln>
                  </pic:spPr>
                </pic:pic>
              </a:graphicData>
            </a:graphic>
          </wp:inline>
        </w:drawing>
      </w:r>
      <w:r>
        <w:t xml:space="preserve"> </w:t>
      </w:r>
      <w:r>
        <w:t xml:space="preserve">Stephen D. Simon</w:t>
      </w:r>
      <w:r>
        <w:rPr>
          <w:vertAlign w:val="superscript"/>
        </w:rPr>
        <w:t xml:space="preserve">1</w:t>
      </w:r>
    </w:p>
    <w:p>
      <w:pPr>
        <w:pStyle w:val="BodyText"/>
      </w:pPr>
      <w:r>
        <w:rPr>
          <w:vertAlign w:val="superscript"/>
        </w:rPr>
        <w:t xml:space="preserve">1</w:t>
      </w:r>
      <w:r>
        <w:t xml:space="preserve">Department of Biomedical and Health Informatics, School of Medicine, University of Missouri-Kansas City, Kansas City Missouri</w:t>
      </w:r>
    </w:p>
    <w:bookmarkStart w:id="23" w:name="abstract"/>
    <w:p>
      <w:pPr>
        <w:pStyle w:val="Heading2"/>
      </w:pPr>
      <w:r>
        <w:t xml:space="preserve">Abstract</w:t>
      </w:r>
    </w:p>
    <w:p>
      <w:pPr>
        <w:pStyle w:val="FirstParagraph"/>
      </w:pPr>
      <w:r>
        <w:rPr>
          <w:b/>
          <w:bCs/>
        </w:rPr>
        <w:t xml:space="preserve">Background</w:t>
      </w:r>
      <w:r>
        <w:t xml:space="preserve">: In an experimental study, researchers often have the ability to assign different treatments. This is often done with randomization. There are many settings, however, where it is not desirable to use randomization. It is unclear how to best design an experimental study without randomization while still providing persuasive evidence.</w:t>
      </w:r>
    </w:p>
    <w:p>
      <w:pPr>
        <w:pStyle w:val="BodyText"/>
      </w:pPr>
      <w:r>
        <w:rPr>
          <w:b/>
          <w:bCs/>
        </w:rPr>
        <w:t xml:space="preserve">Objectives</w:t>
      </w:r>
      <w:r>
        <w:t xml:space="preserve">: The aim of this study is to outline several approaches, broadly classified as quasi-experimental studies, where researchers can use methodologically sound alternatives to randomization.</w:t>
      </w:r>
    </w:p>
    <w:p>
      <w:pPr>
        <w:pStyle w:val="BodyText"/>
      </w:pPr>
      <w:r>
        <w:rPr>
          <w:b/>
          <w:bCs/>
        </w:rPr>
        <w:t xml:space="preserve">Results</w:t>
      </w:r>
      <w:r>
        <w:t xml:space="preserve">: The interrupted time series, phased inventions, withdrawal design, waiting list control group, stepped wedge design, and regression discontinuity all represent approaches where careful non-random allocation to treatment groups can produce high quality research findings.</w:t>
      </w:r>
    </w:p>
    <w:p>
      <w:pPr>
        <w:pStyle w:val="BodyText"/>
      </w:pPr>
      <w:r>
        <w:rPr>
          <w:b/>
          <w:bCs/>
        </w:rPr>
        <w:t xml:space="preserve">Conclusion</w:t>
      </w:r>
      <w:r>
        <w:t xml:space="preserve">: Quasi-experimental studies can produce rigorous research findings. The allocation to treatment groups and the times of evaluation need to be carefully designed. Proper use of these quasi-experimental approaches can enhance research options in settings where the research team has control of allocation but finds randomization to be problematic.</w:t>
      </w:r>
    </w:p>
    <w:p>
      <w:pPr>
        <w:pStyle w:val="BodyText"/>
      </w:pPr>
      <w:r>
        <w:rPr>
          <w:b/>
          <w:bCs/>
        </w:rPr>
        <w:t xml:space="preserve">Keywords</w:t>
      </w:r>
      <w:r>
        <w:t xml:space="preserve">: Quasi-experimental studies, interrupted time series, withdrawal design, stepped wedge design.</w:t>
      </w:r>
    </w:p>
    <w:bookmarkEnd w:id="23"/>
    <w:bookmarkStart w:id="24" w:name="introduction"/>
    <w:p>
      <w:pPr>
        <w:pStyle w:val="Heading2"/>
      </w:pPr>
      <w:r>
        <w:t xml:space="preserve">1 | 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Better than almost any other approach, randomization reduces the likelihood of sizable covariate imbalances, both among measured and unmeasured covariates. Thanks to the law of large numbers,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locations serve as controls. Cluster randomization requires special care during data analysis. If the number of clusters is small, you can’t lean as heavily on the law of large numbers. You may need to apply matching or other controls to the clusters. Nevertheless, cluster randomized trials have all the same benefits of individual randomization.</w:t>
      </w:r>
    </w:p>
    <w:p>
      <w:pPr>
        <w:pStyle w:val="BodyText"/>
      </w:pPr>
      <w:r>
        <w:t xml:space="preserve">There are times, however, when you should reject individual or cluster randomization in favor of some non-randomized alternatives. The sad truth is that randomization is not all it’s cracked up to be.</w:t>
      </w:r>
    </w:p>
    <w:p>
      <w:pPr>
        <w:pStyle w:val="BodyText"/>
      </w:pPr>
      <w:r>
        <w:t xml:space="preserve">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does not prevent crossover and contamination. If you randomly assigned different books to students in your class, the impact of the book assignment would be affected by the tendency of students to study together in groups.</w:t>
      </w:r>
    </w:p>
    <w:p>
      <w:pPr>
        <w:pStyle w:val="BodyText"/>
      </w:pPr>
      <w:r>
        <w:t xml:space="preserve">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While this is true in just about any research study, there is something especially off-putting about telling your patient that you are leaving their treatment choice up to the flip of a coin.</w:t>
      </w:r>
    </w:p>
    <w:p>
      <w:pPr>
        <w:pStyle w:val="BodyText"/>
      </w:pPr>
      <w:r>
        <w:t xml:space="preserve">This paper will not cover observational studies, those where the choice of who gets what is totally out of control of the researcher. See</w:t>
      </w:r>
      <w:r>
        <w:rPr>
          <w:vertAlign w:val="superscript"/>
        </w:rPr>
        <w:t xml:space="preserve">1</w:t>
      </w:r>
      <w:r>
        <w:t xml:space="preserve"> </w:t>
      </w:r>
      <w:r>
        <w:t xml:space="preserve">for a nice overview of observational studies and a contrast to randomized studies.</w:t>
      </w:r>
    </w:p>
    <w:p>
      <w:pPr>
        <w:pStyle w:val="BodyText"/>
      </w:pPr>
      <w:r>
        <w:t xml:space="preserve">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4"/>
    <w:bookmarkStart w:id="25" w:name="quasi-experimental-designs"/>
    <w:p>
      <w:pPr>
        <w:pStyle w:val="Heading2"/>
      </w:pPr>
      <w:r>
        <w:t xml:space="preserve">2 | QUASI-EXPERIMENTAL DESIGNS</w:t>
      </w:r>
    </w:p>
    <w:bookmarkEnd w:id="25"/>
    <w:bookmarkStart w:id="26" w:name="the-infamous-historical-control"/>
    <w:p>
      <w:pPr>
        <w:pStyle w:val="Heading2"/>
      </w:pPr>
      <w:r>
        <w:t xml:space="preserve">2.1 | 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w:t>
      </w:r>
    </w:p>
    <w:p>
      <w:pPr>
        <w:pStyle w:val="BodyText"/>
      </w:pPr>
      <w:r>
        <w:t xml:space="preserve">Most researchers sneer at historical control designs. A common recommendation is that they should be excluded from systematic overviews</w:t>
      </w:r>
      <w:r>
        <w:rPr>
          <w:vertAlign w:val="superscript"/>
        </w:rPr>
        <w:t xml:space="preserve">2</w:t>
      </w:r>
      <w:r>
        <w:t xml:space="preserve">. The International Conference on Harmonization considers the use of historical controls</w:t>
      </w:r>
      <w:r>
        <w:t xml:space="preserve"> </w:t>
      </w:r>
      <w:r>
        <w:t xml:space="preserve">“</w:t>
      </w:r>
      <w:r>
        <w:t xml:space="preserve">usuable only in unusual circumstances</w:t>
      </w:r>
      <w:r>
        <w:t xml:space="preserve">”</w:t>
      </w:r>
      <w:r>
        <w:t xml:space="preserve">.</w:t>
      </w:r>
      <w:r>
        <w:rPr>
          <w:vertAlign w:val="superscript"/>
        </w:rPr>
        <w:t xml:space="preserve">3</w:t>
      </w:r>
      <w:r>
        <w:t xml:space="preserve"> </w:t>
      </w:r>
      <w:r>
        <w:t xml:space="preserve">Historical controls have indeed been behind some absolute research disasters. Paul Robsenbaum in his book on observational studies</w:t>
      </w:r>
      <w:r>
        <w:rPr>
          <w:vertAlign w:val="superscript"/>
        </w:rPr>
        <w:t xml:space="preserve">4</w:t>
      </w:r>
      <w:r>
        <w:t xml:space="preserve"> </w:t>
      </w:r>
      <w:r>
        <w:t xml:space="preserve">leads off with a critique of a historical control study of Vitamin C in the treatment of cancer</w:t>
      </w:r>
      <w:r>
        <w:rPr>
          <w:vertAlign w:val="superscript"/>
        </w:rPr>
        <w:t xml:space="preserve">5</w:t>
      </w:r>
      <w:r>
        <w:t xml:space="preserve"> </w:t>
      </w:r>
      <w:r>
        <w:t xml:space="preserve">that grossly overstated the benefits of this therapy.</w:t>
      </w:r>
    </w:p>
    <w:p>
      <w:pPr>
        <w:pStyle w:val="BodyText"/>
      </w:pPr>
      <w:r>
        <w:t xml:space="preserve">Nevertheless, you will still see historical control designs in the literature. One study</w:t>
      </w:r>
      <w:r>
        <w:rPr>
          <w:vertAlign w:val="superscript"/>
        </w:rPr>
        <w:t xml:space="preserve">6</w:t>
      </w:r>
      <w:r>
        <w:t xml:space="preserve"> </w:t>
      </w:r>
      <w:r>
        <w:t xml:space="preserve">compared the treatment with low-level laser therapy of 21 patients with Oral Mucositis from December 2022 to September 2023 to 96 control patients recruited from another study</w:t>
      </w:r>
      <w:r>
        <w:rPr>
          <w:vertAlign w:val="superscript"/>
        </w:rPr>
        <w:t xml:space="preserve">7</w:t>
      </w:r>
      <w:r>
        <w:t xml:space="preserve"> </w:t>
      </w:r>
      <w:r>
        <w:t xml:space="preserve">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p>
      <w:pPr>
        <w:pStyle w:val="BodyText"/>
      </w:pPr>
      <w:r>
        <w:t xml:space="preserve">There is no way to directly test for competing temporal trends. You can, at best, make a qualitative and highly subjective argument that no alternate factor could account for the differences that you saw in your historical controls study.</w:t>
      </w:r>
    </w:p>
    <w:bookmarkEnd w:id="26"/>
    <w:bookmarkStart w:id="27" w:name="the-before-and-after-design"/>
    <w:p>
      <w:pPr>
        <w:pStyle w:val="Heading2"/>
      </w:pPr>
      <w:r>
        <w:t xml:space="preserve">2.2 | The before-and-after design</w:t>
      </w:r>
    </w:p>
    <w:p>
      <w:pPr>
        <w:pStyle w:val="FirstParagraph"/>
      </w:pPr>
      <w:r>
        <w:t xml:space="preserve">A close cousin to the historical control design is the before-and-after design also known as a pre-test post-test design. You measure a group of patients at baseline, give all of them the intervention, and then measure them again. There is no control group.</w:t>
      </w:r>
    </w:p>
    <w:p>
      <w:pPr>
        <w:pStyle w:val="BodyText"/>
      </w:pPr>
      <w:r>
        <w:t xml:space="preserve">A Korean study of Basic Life Support (BLS) training during Dental School evaluated 98 students who received this training during their third year of dental school</w:t>
      </w:r>
      <w:r>
        <w:rPr>
          <w:vertAlign w:val="superscript"/>
        </w:rPr>
        <w:t xml:space="preserve">8</w:t>
      </w:r>
      <w:r>
        <w:t xml:space="preserve">.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w:t>
      </w:r>
      <w:r>
        <w:t xml:space="preserve"> </w:t>
      </w:r>
      <w:r>
        <w:t xml:space="preserve">“</w:t>
      </w:r>
      <w:r>
        <w:t xml:space="preserve">necessary to update BLS training periodically and also implement more effective education methods to maintain BLS knowledge and practical skills.</w:t>
      </w:r>
      <w:r>
        <w:t xml:space="preserve">”</w:t>
      </w:r>
    </w:p>
    <w:p>
      <w:pPr>
        <w:pStyle w:val="BodyText"/>
      </w:pPr>
      <w:r>
        <w:t xml:space="preserve">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bookmarkEnd w:id="27"/>
    <w:bookmarkStart w:id="28" w:name="quasi-experiments-to-the-rescue"/>
    <w:p>
      <w:pPr>
        <w:pStyle w:val="Heading2"/>
      </w:pPr>
      <w:r>
        <w:t xml:space="preserve">2.3 | Quasi-experiments to the rescue</w:t>
      </w:r>
    </w:p>
    <w:p>
      <w:pPr>
        <w:pStyle w:val="FirstParagraph"/>
      </w:pPr>
      <w:r>
        <w:t xml:space="preserve">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w:t>
      </w:r>
      <w:r>
        <w:rPr>
          <w:vertAlign w:val="superscript"/>
        </w:rPr>
        <w:t xml:space="preserve">9</w:t>
      </w:r>
      <w:r>
        <w:t xml:space="preserve"> </w:t>
      </w:r>
      <w:r>
        <w:t xml:space="preserve">(page 332)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8"/>
    <w:bookmarkStart w:id="32" w:name="interrupted-time-series"/>
    <w:p>
      <w:pPr>
        <w:pStyle w:val="Heading2"/>
      </w:pPr>
      <w:r>
        <w:t xml:space="preserve">2.4 | 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two possible results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drawing>
          <wp:inline>
            <wp:extent cx="4620126" cy="3696101"/>
            <wp:effectExtent b="0" l="0" r="0" t="0"/>
            <wp:docPr descr="" title="" id="30" name="Picture"/>
            <a:graphic>
              <a:graphicData uri="http://schemas.openxmlformats.org/drawingml/2006/picture">
                <pic:pic>
                  <pic:nvPicPr>
                    <pic:cNvPr descr="experimentation-without-randomization_files/figure-docx/time-series-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Two hypothetical outcomes from an interrupted time series design.</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w:t>
      </w:r>
      <w:r>
        <w:rPr>
          <w:vertAlign w:val="superscript"/>
        </w:rPr>
        <w:t xml:space="preserve">10</w:t>
      </w:r>
      <w:r>
        <w:t xml:space="preserve"> </w:t>
      </w:r>
      <w:r>
        <w:t xml:space="preserve">monitored patients biweekly in 2019 prior to the introduction of a system of electronic reminders and feedback. Monitoring continued throughout all of 2020. The second half of 2019 was compared to the second half of 2020, to avoid problems with transitioning and with seasonality, (but do note that the impact of the COVID pandemic between these two time periods).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32"/>
    <w:bookmarkStart w:id="36" w:name="phased-intervetions"/>
    <w:p>
      <w:pPr>
        <w:pStyle w:val="Heading2"/>
      </w:pPr>
      <w:r>
        <w:t xml:space="preserve">2.5 | Phased intervetions</w:t>
      </w:r>
    </w:p>
    <w:p>
      <w:pPr>
        <w:pStyle w:val="FirstParagraph"/>
      </w:pPr>
      <w:r>
        <w:t xml:space="preserve">While a flat-jump-flat pattern for an interrupted time series is good news, you are still left with one concern. Did some other change, occurring at the exact same time as your intervention, interfere with your experiment?</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drawing>
          <wp:inline>
            <wp:extent cx="4620126" cy="3696101"/>
            <wp:effectExtent b="0" l="0" r="0" t="0"/>
            <wp:docPr descr="" title="" id="34" name="Picture"/>
            <a:graphic>
              <a:graphicData uri="http://schemas.openxmlformats.org/drawingml/2006/picture">
                <pic:pic>
                  <pic:nvPicPr>
                    <pic:cNvPr descr="experimentation-without-randomization_files/figure-docx/time-series-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Two hypothetical outcomes for a for an interrupted time series design with phases.</w:t>
      </w:r>
    </w:p>
    <w:p>
      <w:pPr>
        <w:pStyle w:val="BodyText"/>
      </w:pPr>
      <w:r>
        <w:t xml:space="preserve">If there is an adverse trend prior to the first intervention, examine whether that trend is reduced after each intervention point. If there are trends at the start, you have to work harder. The work, thankfully,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w:t>
      </w:r>
      <w:r>
        <w:rPr>
          <w:vertAlign w:val="superscript"/>
        </w:rPr>
        <w:t xml:space="preserve">11</w:t>
      </w:r>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pPr>
        <w:pStyle w:val="BodyText"/>
      </w:pPr>
      <w:r>
        <w:t xml:space="preserve">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bookmarkEnd w:id="36"/>
    <w:bookmarkStart w:id="40" w:name="withdrawal-design"/>
    <w:p>
      <w:pPr>
        <w:pStyle w:val="Heading2"/>
      </w:pPr>
      <w:r>
        <w:t xml:space="preserve">2.6 | 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w:t>
      </w:r>
      <w:r>
        <w:rPr>
          <w:vertAlign w:val="superscript"/>
        </w:rPr>
        <w:t xml:space="preserve">12</w:t>
      </w:r>
      <w:r>
        <w:t xml:space="preserve">. He described an experiment (not his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drawing>
          <wp:inline>
            <wp:extent cx="4620126" cy="3696101"/>
            <wp:effectExtent b="0" l="0" r="0" t="0"/>
            <wp:docPr descr="" title="" id="38" name="Picture"/>
            <a:graphic>
              <a:graphicData uri="http://schemas.openxmlformats.org/drawingml/2006/picture">
                <pic:pic>
                  <pic:nvPicPr>
                    <pic:cNvPr descr="experimentation-without-randomization_files/figure-docx/time-series-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Two hypothetical results from a withdrawal design</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w:t>
      </w:r>
      <w:r>
        <w:rPr>
          <w:vertAlign w:val="superscript"/>
        </w:rPr>
        <w:t xml:space="preserve">13</w:t>
      </w:r>
      <w:r>
        <w:t xml:space="preserve"> </w:t>
      </w:r>
      <w:r>
        <w:t xml:space="preserve">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40"/>
    <w:bookmarkStart w:id="44" w:name="waiting-list-control-group"/>
    <w:p>
      <w:pPr>
        <w:pStyle w:val="Heading2"/>
      </w:pPr>
      <w:r>
        <w:t xml:space="preserve">2.7 | Waiting list control group</w:t>
      </w:r>
    </w:p>
    <w:p>
      <w:pPr>
        <w:pStyle w:val="FirstParagraph"/>
      </w:pPr>
      <w:r>
        <w:t xml:space="preserve">In some settings, researchers cannot or will not withhold the treatment from their patients but they do have the ability to control the timing. These open up an opportunity to randomize times.</w:t>
      </w:r>
    </w:p>
    <w:p>
      <w:pPr>
        <w:pStyle w:val="BodyText"/>
      </w:pPr>
      <w:r>
        <w:t xml:space="preserve">The simplest concept is to evaluate every patient at baseline, randomly assign half to receive the intervention immediately and half to receive the intervention at the end of the study. This is a waiting list control design.</w:t>
      </w:r>
    </w:p>
    <w:p>
      <w:pPr>
        <w:pStyle w:val="BodyText"/>
      </w:pPr>
      <w:r>
        <w:t xml:space="preserve">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pPr>
        <w:pStyle w:val="BodyText"/>
      </w:pPr>
      <w:r>
        <w:t xml:space="preserve">Figure 4 shows a hypothetical outcome of a waiting list control design. The two groups are comparable at first measurement. The intervention jumps ahead at the second measurement, but the control group, getting the intervention after a waiting period catches back up.</w:t>
      </w:r>
    </w:p>
    <w:p>
      <w:pPr>
        <w:pStyle w:val="BodyText"/>
      </w:pPr>
      <w:r>
        <w:drawing>
          <wp:inline>
            <wp:extent cx="4620126" cy="3696101"/>
            <wp:effectExtent b="0" l="0" r="0" t="0"/>
            <wp:docPr descr="" title="" id="42" name="Picture"/>
            <a:graphic>
              <a:graphicData uri="http://schemas.openxmlformats.org/drawingml/2006/picture">
                <pic:pic>
                  <pic:nvPicPr>
                    <pic:cNvPr descr="experimentation-without-randomization_files/figure-docx/time-series-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Hypothetical data in a waiting list control design</w:t>
      </w:r>
    </w:p>
    <w:p>
      <w:pPr>
        <w:pStyle w:val="BodyText"/>
      </w:pPr>
      <w:r>
        <w:t xml:space="preserve">A study of dental care practices used an Internet driven educational intervention to encourage providers to ask about tobacco use and to advise any smokers so identified to stop smoking</w:t>
      </w:r>
      <w:r>
        <w:rPr>
          <w:vertAlign w:val="superscript"/>
        </w:rPr>
        <w:t xml:space="preserve">14</w:t>
      </w:r>
      <w:r>
        <w:t xml:space="preserve">.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w:t>
      </w:r>
      <w:r>
        <w:t xml:space="preserve"> </w:t>
      </w:r>
      <w:r>
        <w:t xml:space="preserve">“</w:t>
      </w:r>
      <w:r>
        <w:t xml:space="preserve">Internet-delivered intervention designed to promote and support tobacco control in dental practices can be effective.</w:t>
      </w:r>
      <w:r>
        <w:t xml:space="preserve">”</w:t>
      </w:r>
    </w:p>
    <w:p>
      <w:pPr>
        <w:pStyle w:val="BodyText"/>
      </w:pPr>
      <w:r>
        <w:t xml:space="preserve">This study did not evaluate again sixteen months after the start to see if there was a similar improvement in the waiting list control clinics or to see if the Internet delivery persisted long term in the treatment group.</w:t>
      </w:r>
    </w:p>
    <w:bookmarkEnd w:id="44"/>
    <w:bookmarkStart w:id="48" w:name="stepped-wedge-design"/>
    <w:p>
      <w:pPr>
        <w:pStyle w:val="Heading2"/>
      </w:pPr>
      <w:r>
        <w:t xml:space="preserve">2.8 | Stepped wedge design</w:t>
      </w:r>
    </w:p>
    <w:p>
      <w:pPr>
        <w:pStyle w:val="FirstParagraph"/>
      </w:pPr>
      <w:r>
        <w:t xml:space="preserve">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pPr>
        <w:pStyle w:val="BodyText"/>
      </w:pPr>
      <w:r>
        <w:t xml:space="preserve">When the jump at one treatment time is accompanied by flatness at the patients who were not treated, you have substantial evidence that no external factor is conspiring against you.</w:t>
      </w:r>
    </w:p>
    <w:p>
      <w:pPr>
        <w:pStyle w:val="BodyText"/>
      </w:pPr>
      <w:r>
        <w:t xml:space="preserve">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pPr>
        <w:pStyle w:val="BodyText"/>
      </w:pPr>
      <w:r>
        <w:drawing>
          <wp:inline>
            <wp:extent cx="4620126" cy="3696101"/>
            <wp:effectExtent b="0" l="0" r="0" t="0"/>
            <wp:docPr descr="" title="" id="46" name="Picture"/>
            <a:graphic>
              <a:graphicData uri="http://schemas.openxmlformats.org/drawingml/2006/picture">
                <pic:pic>
                  <pic:nvPicPr>
                    <pic:cNvPr descr="experimentation-without-randomization_files/figure-docx/time-series-1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Hypothetical outcome of a stepped wedge design</w:t>
      </w:r>
    </w:p>
    <w:p>
      <w:pPr>
        <w:pStyle w:val="BodyText"/>
      </w:pPr>
      <w:r>
        <w:t xml:space="preserve">A study at a large teaching hospital examined the effectiveness of a new care protocol that encouraged nurses to provide better oral health care to patients in their wards</w:t>
      </w:r>
      <w:r>
        <w:rPr>
          <w:vertAlign w:val="superscript"/>
        </w:rPr>
        <w:t xml:space="preserve">15</w:t>
      </w:r>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explanation for this decline and suggested that an evaluation of barriers and facilitators was needed.</w:t>
      </w:r>
    </w:p>
    <w:p>
      <w:pPr>
        <w:pStyle w:val="BodyText"/>
      </w:pPr>
      <w:r>
        <w:t xml:space="preserve">There are parallels and differences between the stepped wedge design and the interrupted time series design with multiple phases</w:t>
      </w:r>
      <w:r>
        <w:rPr>
          <w:vertAlign w:val="superscript"/>
        </w:rPr>
        <w:t xml:space="preserve">16</w:t>
      </w:r>
      <w:r>
        <w:t xml:space="preserve">. The former divides patients into random groups and allocates them at different times. The latter divides the intervention into phases and allocates the phases at different times.</w:t>
      </w:r>
    </w:p>
    <w:bookmarkEnd w:id="48"/>
    <w:bookmarkStart w:id="52" w:name="regression-discontinuity"/>
    <w:p>
      <w:pPr>
        <w:pStyle w:val="Heading2"/>
      </w:pPr>
      <w:r>
        <w:t xml:space="preserve">2.9 | Regression discontinuity</w:t>
      </w:r>
    </w:p>
    <w:p>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in which a qualifying variable is used by the researchers to decide who gets the intervention. This qualifying variable can be (and often is) associated with the outcome.</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Only the worst patients get the intervention? Surely any effect of the intervention will be masked by this lopsided allocation.</w:t>
      </w:r>
    </w:p>
    <w:p>
      <w:pPr>
        <w:pStyle w:val="BodyText"/>
      </w:pPr>
      <w:r>
        <w:t xml:space="preserve">The secret to a regression discontinuity design is that you compare patients just barely on either side of the dividing line and ignore the patients at the extremes.</w:t>
      </w:r>
    </w:p>
    <w:p>
      <w:pPr>
        <w:pStyle w:val="BodyText"/>
      </w:pPr>
      <w:r>
        <w:t xml:space="preserve">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 6 illustrates a hypothetical setting for a regression discontinuity design. The left side shows a qualifying variable with a strong relationship to the outcome. The middle shows patients scoring below a threshold assigned to the treatment. In this hypothetical dataset, the treatment lifts all patients by a small amount. Then the right side shows the selection of only patients near the threshold.</w:t>
      </w:r>
    </w:p>
    <w:p>
      <w:pPr>
        <w:pStyle w:val="BodyText"/>
      </w:pPr>
      <w:r>
        <w:drawing>
          <wp:inline>
            <wp:extent cx="5334000" cy="2263986"/>
            <wp:effectExtent b="0" l="0" r="0" t="0"/>
            <wp:docPr descr="" title="" id="50" name="Picture"/>
            <a:graphic>
              <a:graphicData uri="http://schemas.openxmlformats.org/drawingml/2006/picture">
                <pic:pic>
                  <pic:nvPicPr>
                    <pic:cNvPr descr="images/regression-discontinuity.png" id="51" name="Picture"/>
                    <pic:cNvPicPr>
                      <a:picLocks noChangeArrowheads="1" noChangeAspect="1"/>
                    </pic:cNvPicPr>
                  </pic:nvPicPr>
                  <pic:blipFill>
                    <a:blip r:embed="rId49"/>
                    <a:stretch>
                      <a:fillRect/>
                    </a:stretch>
                  </pic:blipFill>
                  <pic:spPr bwMode="auto">
                    <a:xfrm>
                      <a:off x="0" y="0"/>
                      <a:ext cx="5334000" cy="2263986"/>
                    </a:xfrm>
                    <a:prstGeom prst="rect">
                      <a:avLst/>
                    </a:prstGeom>
                    <a:noFill/>
                    <a:ln w="9525">
                      <a:noFill/>
                      <a:headEnd/>
                      <a:tailEnd/>
                    </a:ln>
                  </pic:spPr>
                </pic:pic>
              </a:graphicData>
            </a:graphic>
          </wp:inline>
        </w:drawing>
      </w:r>
    </w:p>
    <w:p>
      <w:pPr>
        <w:pStyle w:val="BodyText"/>
      </w:pPr>
      <w:r>
        <w:t xml:space="preserve">Figure 6. Hypothetical data showing a relationship between a qualifying variable and a health outcome.</w:t>
      </w:r>
    </w:p>
    <w:p>
      <w:pPr>
        <w:pStyle w:val="BodyText"/>
      </w:pPr>
      <w:r>
        <w:t xml:space="preserve">A regression discontinuity design was used to examine the extent to which Medicaid dental coverage reduced difficulty in accessing dental care</w:t>
      </w:r>
      <w:r>
        <w:rPr>
          <w:vertAlign w:val="superscript"/>
        </w:rPr>
        <w:t xml:space="preserve">17</w:t>
      </w:r>
      <w:r>
        <w:t xml:space="preserve">.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52"/>
    <w:bookmarkStart w:id="53" w:name="discussion"/>
    <w:p>
      <w:pPr>
        <w:pStyle w:val="Heading2"/>
      </w:pPr>
      <w:r>
        <w:t xml:space="preserve">3 | DISCUSSION</w:t>
      </w:r>
    </w:p>
    <w:bookmarkEnd w:id="53"/>
    <w:bookmarkStart w:id="54" w:name="how-many-evaluation-points-do-you-need"/>
    <w:p>
      <w:pPr>
        <w:pStyle w:val="Heading2"/>
      </w:pPr>
      <w:r>
        <w:t xml:space="preserve">3.1 | 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recommendation</w:t>
      </w:r>
      <w:r>
        <w:rPr>
          <w:vertAlign w:val="superscript"/>
        </w:rPr>
        <w:t xml:space="preserve">18</w:t>
      </w:r>
      <w:r>
        <w:t xml:space="preserve"> </w:t>
      </w:r>
      <w:r>
        <w:t xml:space="preserve">(page 173), though, of 100 is almost certainly excessive. While such a sample size might be required for fine tuning the autoregressive terms, a model without such fine tuning should still be able to accurately identify when jumps in the time series occur.</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w:t>
      </w:r>
      <w:r>
        <w:rPr>
          <w:vertAlign w:val="superscript"/>
        </w:rPr>
        <w:t xml:space="preserve">19</w:t>
      </w:r>
      <w:r>
        <w:t xml:space="preserve">. The pattern observed in the single self-biting patient is quite revealing, where changes correspond precisely to the times when the intervention is added (or removed).</w:t>
      </w:r>
    </w:p>
    <w:bookmarkEnd w:id="54"/>
    <w:bookmarkStart w:id="55" w:name="X44cd3428253b90967c71fd6e9b3113f9c0a5f99"/>
    <w:p>
      <w:pPr>
        <w:pStyle w:val="Heading2"/>
      </w:pPr>
      <w:r>
        <w:t xml:space="preserve">3.2 | Considerations for choosing a non-randomized experiment.</w:t>
      </w:r>
    </w:p>
    <w:p>
      <w:pPr>
        <w:pStyle w:val="FirstParagraph"/>
      </w:pPr>
      <w:r>
        <w:t xml:space="preserve">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pPr>
        <w:pStyle w:val="BodyText"/>
      </w:pPr>
      <w:r>
        <w:t xml:space="preserve">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more</w:t>
      </w:r>
      <w:r>
        <w:rPr>
          <w:vertAlign w:val="superscript"/>
        </w:rPr>
        <w:t xml:space="preserve">20</w:t>
      </w:r>
      <w:r>
        <w:t xml:space="preserve">. In any case, the categorization of research designs is less important than the careful use of extra information that these designs provide you.</w:t>
      </w:r>
    </w:p>
    <w:p>
      <w:pPr>
        <w:pStyle w:val="BodyText"/>
      </w:pPr>
      <w:r>
        <w:t xml:space="preserve">Reporting guidelines for these research designs are limited</w:t>
      </w:r>
      <w:r>
        <w:rPr>
          <w:vertAlign w:val="superscript"/>
        </w:rPr>
        <w:t xml:space="preserve">21</w:t>
      </w:r>
      <w:r>
        <w:t xml:space="preserve">. The SQUIRE guidelines for quality improvement studies</w:t>
      </w:r>
      <w:r>
        <w:rPr>
          <w:vertAlign w:val="superscript"/>
        </w:rPr>
        <w:t xml:space="preserve">22</w:t>
      </w:r>
      <w:r>
        <w:t xml:space="preserve"> </w:t>
      </w:r>
      <w:r>
        <w:t xml:space="preserve">or possibly the TREND guidleines for nonrandomized evaluations</w:t>
      </w:r>
      <w:r>
        <w:rPr>
          <w:vertAlign w:val="superscript"/>
        </w:rPr>
        <w:t xml:space="preserve">23</w:t>
      </w:r>
      <w:r>
        <w:t xml:space="preserve"> </w:t>
      </w:r>
      <w:r>
        <w:t xml:space="preserve">may provide some limited guidance.</w:t>
      </w:r>
    </w:p>
    <w:bookmarkEnd w:id="55"/>
    <w:bookmarkStart w:id="56" w:name="Xbe25916e96d997af3282b27a3d1afd5eabab71c"/>
    <w:p>
      <w:pPr>
        <w:pStyle w:val="Heading2"/>
      </w:pPr>
      <w:r>
        <w:t xml:space="preserve">3.3 | Don’t neglect covariate adjustment and matching</w:t>
      </w:r>
    </w:p>
    <w:p>
      <w:pPr>
        <w:pStyle w:val="FirstParagraph"/>
      </w:pPr>
      <w:r>
        <w:t xml:space="preserve">Two strategies used in observational studies, covariate adjustment and matching, are well-known and commonly-used approaches in observational studies. For example, an observational study comparing self-reported oral hypofunction in older patients with rheumatoid arthritis</w:t>
      </w:r>
      <w:r>
        <w:rPr>
          <w:vertAlign w:val="superscript"/>
        </w:rPr>
        <w:t xml:space="preserve">24</w:t>
      </w:r>
      <w:r>
        <w:t xml:space="preserve"> </w:t>
      </w:r>
      <w:r>
        <w:t xml:space="preserve">compared this group to the general older population. Because of important differences in various demographic measures, the researchers computed a propensity score using age groups, sex, education level, and smoking history to select matched subjects from the general older population.</w:t>
      </w:r>
    </w:p>
    <w:p>
      <w:pPr>
        <w:pStyle w:val="BodyText"/>
      </w:pPr>
      <w:r>
        <w:t xml:space="preserve">You should always consider matching and/or covariate adjustment as an alternative to a quasi-experimental study, but it may also be an option that can be combined with a quasi-experimental approach. It is not gilding the lily, it is making a good research approach even better. Although this combination has not been used much (if at all), there is no theoretical reason to bar its use.</w:t>
      </w:r>
    </w:p>
    <w:bookmarkEnd w:id="56"/>
    <w:bookmarkStart w:id="57" w:name="conclusion"/>
    <w:p>
      <w:pPr>
        <w:pStyle w:val="Heading2"/>
      </w:pPr>
      <w:r>
        <w:t xml:space="preserve">4 | Conclusion</w:t>
      </w:r>
    </w:p>
    <w:p>
      <w:pPr>
        <w:pStyle w:val="FirstParagraph"/>
      </w:pPr>
      <w:r>
        <w:t xml:space="preserve">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pPr>
        <w:pStyle w:val="BodyText"/>
      </w:pPr>
      <w:r>
        <w:t xml:space="preserve">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pPr>
        <w:pStyle w:val="BodyText"/>
      </w:pPr>
      <w:r>
        <w:t xml:space="preserve">Don’t eliminate randomization, of course, as a method in your research toolbox. A randomized controlled trial is great if it is easy to apply individually and if the individual patients (and their care providers) are willing to accept it.</w:t>
      </w:r>
    </w:p>
    <w:bookmarkEnd w:id="57"/>
    <w:bookmarkStart w:id="58" w:name="acknowledgements"/>
    <w:p>
      <w:pPr>
        <w:pStyle w:val="Heading2"/>
      </w:pPr>
      <w:r>
        <w:t xml:space="preserve">Acknowledgements</w:t>
      </w:r>
    </w:p>
    <w:p>
      <w:pPr>
        <w:pStyle w:val="FirstParagraph"/>
      </w:pPr>
      <w:r>
        <w:t xml:space="preserve">The author is grateful to Dr. Alan Glaros for his support and encouragement throughout this process. The two referees provided excellent review comments which greatly enhanced this paper.</w:t>
      </w:r>
    </w:p>
    <w:bookmarkEnd w:id="58"/>
    <w:bookmarkStart w:id="59" w:name="conflicts-of-interest"/>
    <w:p>
      <w:pPr>
        <w:pStyle w:val="Heading2"/>
      </w:pPr>
      <w:r>
        <w:t xml:space="preserve">Conflicts of Interest</w:t>
      </w:r>
    </w:p>
    <w:p>
      <w:pPr>
        <w:pStyle w:val="FirstParagraph"/>
      </w:pPr>
      <w:r>
        <w:t xml:space="preserve">The author declares no conflicts of interest.</w:t>
      </w:r>
    </w:p>
    <w:bookmarkEnd w:id="59"/>
    <w:bookmarkStart w:id="60" w:name="ethical-statement"/>
    <w:p>
      <w:pPr>
        <w:pStyle w:val="Heading2"/>
      </w:pPr>
      <w:r>
        <w:t xml:space="preserve">Ethical Statement</w:t>
      </w:r>
    </w:p>
    <w:p>
      <w:pPr>
        <w:pStyle w:val="FirstParagraph"/>
      </w:pPr>
      <w:r>
        <w:t xml:space="preserve">This study did not involve any interaction with human subjects and used only publicly available resources. As such, it did not qualify as human research and did not require evaluation by an Institutional Review Board.</w:t>
      </w:r>
    </w:p>
    <w:bookmarkEnd w:id="60"/>
    <w:bookmarkStart w:id="61" w:name="data-availability-statement"/>
    <w:p>
      <w:pPr>
        <w:pStyle w:val="Heading2"/>
      </w:pPr>
      <w:r>
        <w:t xml:space="preserve">Data Availability Statement</w:t>
      </w:r>
    </w:p>
    <w:p>
      <w:pPr>
        <w:pStyle w:val="FirstParagraph"/>
      </w:pPr>
      <w:r>
        <w:t xml:space="preserve">The data used to produce the graphs in this article are all hypothetical and not taken from any actual research studies. These hypothetical data sets, nevertheless, are available upon request.</w:t>
      </w:r>
    </w:p>
    <w:bookmarkEnd w:id="61"/>
    <w:bookmarkStart w:id="62" w:name="bibliography"/>
    <w:p>
      <w:pPr>
        <w:pStyle w:val="Heading2"/>
      </w:pPr>
      <w:r>
        <w:t xml:space="preserve">Bibliography</w:t>
      </w:r>
    </w:p>
    <w:p>
      <w:pPr>
        <w:numPr>
          <w:ilvl w:val="0"/>
          <w:numId w:val="1001"/>
        </w:numPr>
      </w:pPr>
      <w:r>
        <w:t xml:space="preserve">Pandis N, Tu YK, Fleming PS, Polychronopoulou A. Randomized and nonrandomized studies: complementary or competing?</w:t>
      </w:r>
      <w:r>
        <w:t xml:space="preserve"> </w:t>
      </w:r>
      <w:r>
        <w:rPr>
          <w:i/>
          <w:iCs/>
        </w:rPr>
        <w:t xml:space="preserve">Am J Orthod Dentofacial Orthop</w:t>
      </w:r>
      <w:r>
        <w:t xml:space="preserve">. 2014 Nov;146(5):633-40. doi: 10.1016/j.ajodo.2014.08.002.</w:t>
      </w:r>
    </w:p>
    <w:p>
      <w:pPr>
        <w:numPr>
          <w:ilvl w:val="0"/>
          <w:numId w:val="1001"/>
        </w:numPr>
      </w:pPr>
      <w:r>
        <w:t xml:space="preserve">Papageorgiou SN, Koretsi V, Andreas Jäger J. Bias from historical control groups used in orthodontic research: a meta-epidemiological study.</w:t>
      </w:r>
      <w:r>
        <w:t xml:space="preserve"> </w:t>
      </w:r>
      <w:r>
        <w:rPr>
          <w:i/>
          <w:iCs/>
        </w:rPr>
        <w:t xml:space="preserve">Eur J Orthod</w:t>
      </w:r>
      <w:r>
        <w:t xml:space="preserve">. 2017 Feb; 39(1):98-105. doi: 10.1093/ejo/cjw035.</w:t>
      </w:r>
    </w:p>
    <w:p>
      <w:pPr>
        <w:numPr>
          <w:ilvl w:val="0"/>
          <w:numId w:val="1001"/>
        </w:numPr>
      </w:pPr>
      <w:r>
        <w:t xml:space="preserve">International Conference on Harmonization. ICH topic E10—Choice of control group in clinical trials. Note for guidance on choice of control group in clinical trials. (CPMP/ICH/364/96). London, UK: European Agency for the Evaluation of Medicinal Products; July 27, 2000.</w:t>
      </w:r>
    </w:p>
    <w:p>
      <w:pPr>
        <w:numPr>
          <w:ilvl w:val="0"/>
          <w:numId w:val="1001"/>
        </w:numPr>
      </w:pPr>
      <w:r>
        <w:t xml:space="preserve">Rosenbaum P. Observational Studies, 2nd ed. Springer-Verlag; 2002.</w:t>
      </w:r>
    </w:p>
    <w:p>
      <w:pPr>
        <w:numPr>
          <w:ilvl w:val="0"/>
          <w:numId w:val="1001"/>
        </w:numPr>
      </w:pPr>
      <w:r>
        <w:t xml:space="preserve">Cameron E, Pauling L. Supplemental ascorbate in the supportive treatment of cancer: Prolongation of survival times in terminal human cancer.</w:t>
      </w:r>
      <w:r>
        <w:t xml:space="preserve"> </w:t>
      </w:r>
      <w:r>
        <w:rPr>
          <w:i/>
          <w:iCs/>
        </w:rPr>
        <w:t xml:space="preserve">Proc Natl Acad Sci USA</w:t>
      </w:r>
      <w:r>
        <w:t xml:space="preserve">. 1976 Oct;73(10):3685-9. doi: 10.1073/pnas.73.10.3685.</w:t>
      </w:r>
    </w:p>
    <w:p>
      <w:pPr>
        <w:numPr>
          <w:ilvl w:val="0"/>
          <w:numId w:val="1001"/>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w:t>
      </w:r>
      <w:r>
        <w:t xml:space="preserve"> </w:t>
      </w:r>
      <w:r>
        <w:rPr>
          <w:i/>
          <w:iCs/>
        </w:rPr>
        <w:t xml:space="preserve">J Pers Med</w:t>
      </w:r>
      <w:r>
        <w:t xml:space="preserve">. 2023 Nov; 13(11): 1603. doi: 10.3390/jpm13111603.</w:t>
      </w:r>
    </w:p>
    <w:p>
      <w:pPr>
        <w:numPr>
          <w:ilvl w:val="0"/>
          <w:numId w:val="1001"/>
        </w:numPr>
      </w:pPr>
      <w:r>
        <w:t xml:space="preserve">Ohbayashi Y, Imataki O, Uemura M, Takeuchi A, Aoki S, Tanaka M, Nakai Y, Nakai F, Miyake M. Oral microorganisms and bloodstream infection in allogeneic hematopoietic stem cell transplantation.</w:t>
      </w:r>
      <w:r>
        <w:t xml:space="preserve"> </w:t>
      </w:r>
      <w:r>
        <w:rPr>
          <w:i/>
          <w:iCs/>
        </w:rPr>
        <w:t xml:space="preserve">Clin Oral Investig</w:t>
      </w:r>
      <w:r>
        <w:t xml:space="preserve">. 2021 Jul;25(7):4359-4367. doi: 10.1007/s00784-020-03749-9.</w:t>
      </w:r>
    </w:p>
    <w:p>
      <w:pPr>
        <w:numPr>
          <w:ilvl w:val="0"/>
          <w:numId w:val="1001"/>
        </w:numPr>
      </w:pPr>
      <w:r>
        <w:t xml:space="preserve">Kim SY, Shin D, Kim HJ, Karm MH. Changes of knowledge and practical skills before and after retraining for basic life support: Focused on students of Dental School.</w:t>
      </w:r>
      <w:r>
        <w:t xml:space="preserve"> </w:t>
      </w:r>
      <w:r>
        <w:rPr>
          <w:i/>
          <w:iCs/>
        </w:rPr>
        <w:t xml:space="preserve">Int J Med Sci</w:t>
      </w:r>
      <w:r>
        <w:t xml:space="preserve">. 2020 Oct 22;17(18):3082-3090. doi: 10.7150/ijms.47343.</w:t>
      </w:r>
    </w:p>
    <w:p>
      <w:pPr>
        <w:numPr>
          <w:ilvl w:val="0"/>
          <w:numId w:val="1001"/>
        </w:numPr>
      </w:pPr>
      <w:r>
        <w:t xml:space="preserve">Campbell, DT.</w:t>
      </w:r>
      <w:r>
        <w:t xml:space="preserve"> </w:t>
      </w:r>
      <w:r>
        <w:rPr>
          <w:i/>
          <w:iCs/>
        </w:rPr>
        <w:t xml:space="preserve">Methodology and epistemology for social science: Selected papers</w:t>
      </w:r>
      <w:r>
        <w:t xml:space="preserve">. (E. S. Overman, Ed.). University of Chicago Press, 1988.</w:t>
      </w:r>
    </w:p>
    <w:p>
      <w:pPr>
        <w:numPr>
          <w:ilvl w:val="0"/>
          <w:numId w:val="1001"/>
        </w:numPr>
      </w:pPr>
      <w:r>
        <w:t xml:space="preserve">Timm LH, Farrag G, Wolf D, Baxmann M, Schwendicke F. Effect of electronic reminders on patients’ compliance during clear aligner treatment: an interrupted time series study.</w:t>
      </w:r>
      <w:r>
        <w:t xml:space="preserve"> </w:t>
      </w:r>
      <w:r>
        <w:rPr>
          <w:i/>
          <w:iCs/>
        </w:rPr>
        <w:t xml:space="preserve">Sci Rep</w:t>
      </w:r>
      <w:r>
        <w:t xml:space="preserve">. 2022 Oct 5;12(1):16652. doi: 10.1038/s41598-022-20820-5.</w:t>
      </w:r>
    </w:p>
    <w:p>
      <w:pPr>
        <w:numPr>
          <w:ilvl w:val="0"/>
          <w:numId w:val="1001"/>
        </w:numPr>
      </w:pPr>
      <w:r>
        <w:t xml:space="preserve">Atia J, Evison F, Gallier S, et al. Effectiveness of clinical decision support in controlling inappropriate red blood cell and platelet transfusions, speciality specific responses and behavioural change.</w:t>
      </w:r>
      <w:r>
        <w:t xml:space="preserve"> </w:t>
      </w:r>
      <w:r>
        <w:rPr>
          <w:i/>
          <w:iCs/>
        </w:rPr>
        <w:t xml:space="preserve">BMC Med Inform Decis Mak</w:t>
      </w:r>
      <w:r>
        <w:t xml:space="preserve">. 2022 Dec 29;22(1):342. doi: 10.1186/s12911-022-02045-8.</w:t>
      </w:r>
    </w:p>
    <w:p>
      <w:pPr>
        <w:numPr>
          <w:ilvl w:val="0"/>
          <w:numId w:val="1001"/>
        </w:numPr>
      </w:pPr>
      <w:r>
        <w:t xml:space="preserve">Zimbardo P.</w:t>
      </w:r>
      <w:r>
        <w:t xml:space="preserve"> </w:t>
      </w:r>
      <w:r>
        <w:rPr>
          <w:i/>
          <w:iCs/>
        </w:rPr>
        <w:t xml:space="preserve">The Lucifer Effect: Understanding How Good People Turn Evil</w:t>
      </w:r>
      <w:r>
        <w:t xml:space="preserve">. Random House 2008.</w:t>
      </w:r>
    </w:p>
    <w:p>
      <w:pPr>
        <w:numPr>
          <w:ilvl w:val="0"/>
          <w:numId w:val="1001"/>
        </w:numPr>
      </w:pPr>
      <w:r>
        <w:t xml:space="preserve">Jones KM, Swearer SM, Friman PC. Relax and try this instead: abbreviated habit reversal for maladaptive self-biting.</w:t>
      </w:r>
      <w:r>
        <w:t xml:space="preserve"> </w:t>
      </w:r>
      <w:r>
        <w:rPr>
          <w:i/>
          <w:iCs/>
        </w:rPr>
        <w:t xml:space="preserve">J Appl Behav Anal</w:t>
      </w:r>
      <w:r>
        <w:t xml:space="preserve">. 1997 Winter;30(4):697-9. doi: 10.1901/jaba.1997.30-697.</w:t>
      </w:r>
    </w:p>
    <w:p>
      <w:pPr>
        <w:numPr>
          <w:ilvl w:val="0"/>
          <w:numId w:val="1001"/>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w:t>
      </w:r>
      <w:r>
        <w:t xml:space="preserve"> </w:t>
      </w:r>
      <w:r>
        <w:rPr>
          <w:i/>
          <w:iCs/>
        </w:rPr>
        <w:t xml:space="preserve">BMC Health Serv Res</w:t>
      </w:r>
      <w:r>
        <w:t xml:space="preserve">. 2008 May 8;8:100. doi: 10.1186/1472-6963-8-100.</w:t>
      </w:r>
    </w:p>
    <w:p>
      <w:pPr>
        <w:numPr>
          <w:ilvl w:val="0"/>
          <w:numId w:val="1001"/>
        </w:numPr>
      </w:pPr>
      <w:r>
        <w:t xml:space="preserve">Schafthuizen L, Spruit-Bentvelzen L, van Dijk M, van Rosmalen J, Ista E. Implementation of a nursing oral health care protocol in a university teaching hospital: A cluster-randomized stepped-wedge design.</w:t>
      </w:r>
      <w:r>
        <w:t xml:space="preserve"> </w:t>
      </w:r>
      <w:r>
        <w:rPr>
          <w:i/>
          <w:iCs/>
        </w:rPr>
        <w:t xml:space="preserve">Int J Dent Hyg</w:t>
      </w:r>
      <w:r>
        <w:t xml:space="preserve">. 2023 Sep 18. doi: 10.1111/idh.12748.</w:t>
      </w:r>
    </w:p>
    <w:p>
      <w:pPr>
        <w:numPr>
          <w:ilvl w:val="0"/>
          <w:numId w:val="1001"/>
        </w:numPr>
      </w:pPr>
      <w:r>
        <w:t xml:space="preserve">Fok CC, Henry D, Allen J. Research Designs for Intervention Research with Small Samples II: Stepped Wedge and Interrupted Time-Series Designs.</w:t>
      </w:r>
      <w:r>
        <w:t xml:space="preserve"> </w:t>
      </w:r>
      <w:r>
        <w:rPr>
          <w:i/>
          <w:iCs/>
        </w:rPr>
        <w:t xml:space="preserve">Prev Sci</w:t>
      </w:r>
      <w:r>
        <w:t xml:space="preserve">. 2015 Oct;16(7):967-77. doi: 10.1007/s11121-015-0569-4.</w:t>
      </w:r>
    </w:p>
    <w:p>
      <w:pPr>
        <w:numPr>
          <w:ilvl w:val="0"/>
          <w:numId w:val="1001"/>
        </w:numPr>
      </w:pPr>
      <w:r>
        <w:t xml:space="preserve">Roberts ET, Mellor JM, McInerny MP, Sabik LM. Effects of a Medicaid dental coverage</w:t>
      </w:r>
      <w:r>
        <w:t xml:space="preserve"> </w:t>
      </w:r>
      <w:r>
        <w:t xml:space="preserve">“</w:t>
      </w:r>
      <w:r>
        <w:t xml:space="preserve">cliff</w:t>
      </w:r>
      <w:r>
        <w:t xml:space="preserve">”</w:t>
      </w:r>
      <w:r>
        <w:t xml:space="preserve"> </w:t>
      </w:r>
      <w:r>
        <w:t xml:space="preserve">on dental care access among low-income Medicare beneficiaries.</w:t>
      </w:r>
      <w:r>
        <w:t xml:space="preserve"> </w:t>
      </w:r>
      <w:r>
        <w:rPr>
          <w:i/>
          <w:iCs/>
        </w:rPr>
        <w:t xml:space="preserve">Health Serv Res</w:t>
      </w:r>
      <w:r>
        <w:t xml:space="preserve">. 2023 Jun;58(3):589-598. doi: 10.1111/1475-6773.13981.</w:t>
      </w:r>
    </w:p>
    <w:p>
      <w:pPr>
        <w:numPr>
          <w:ilvl w:val="0"/>
          <w:numId w:val="1001"/>
        </w:numPr>
      </w:pPr>
      <w:r>
        <w:t xml:space="preserve">Shadish WR, Cook TD, Campbell DT.</w:t>
      </w:r>
      <w:r>
        <w:t xml:space="preserve"> </w:t>
      </w:r>
      <w:r>
        <w:rPr>
          <w:i/>
          <w:iCs/>
        </w:rPr>
        <w:t xml:space="preserve">Experimental and quasi-experimental designs for generalized causal inference</w:t>
      </w:r>
      <w:r>
        <w:t xml:space="preserve">. Houghton, Mifflin and Company, 2002.</w:t>
      </w:r>
    </w:p>
    <w:p>
      <w:pPr>
        <w:numPr>
          <w:ilvl w:val="0"/>
          <w:numId w:val="1001"/>
        </w:numPr>
      </w:pPr>
      <w:r>
        <w:t xml:space="preserve">Davidson KW, Silverstein M, Cheung K, Paluch RA, Epstein LH. Experimental Designs to Optimize Treatments for Individuals: Personalized N-of-1 Trials.</w:t>
      </w:r>
      <w:r>
        <w:t xml:space="preserve"> </w:t>
      </w:r>
      <w:r>
        <w:rPr>
          <w:i/>
          <w:iCs/>
        </w:rPr>
        <w:t xml:space="preserve">JAMA Pediatr</w:t>
      </w:r>
      <w:r>
        <w:t xml:space="preserve">. 2021 Apr 1;175(4):404-409. doi: 10.1001/jamapediatrics.2020.5801.</w:t>
      </w:r>
    </w:p>
    <w:p>
      <w:pPr>
        <w:numPr>
          <w:ilvl w:val="0"/>
          <w:numId w:val="1001"/>
        </w:numPr>
      </w:pPr>
      <w:r>
        <w:t xml:space="preserve">Reeves BC, Wells GA, Waddington H. Quasi-experimental study designs series-paper 5: a checklist for classifying studies evaluating the effects on health interventions-a taxonomy without labels.</w:t>
      </w:r>
      <w:r>
        <w:t xml:space="preserve"> </w:t>
      </w:r>
      <w:r>
        <w:rPr>
          <w:i/>
          <w:iCs/>
        </w:rPr>
        <w:t xml:space="preserve">J Clin Epidemiol</w:t>
      </w:r>
      <w:r>
        <w:t xml:space="preserve">. 2017 Sep;89:30-42. doi: 10.1016/j.jclinepi.2017.02.016.</w:t>
      </w:r>
    </w:p>
    <w:p>
      <w:pPr>
        <w:numPr>
          <w:ilvl w:val="0"/>
          <w:numId w:val="1001"/>
        </w:numPr>
      </w:pPr>
      <w:r>
        <w:t xml:space="preserve">Hategeka C, Ruton H, Karamouzian M, Lynd LD, Law MR. Use of interrupted time series methods in the evaluation of health system quality improvement interventions: a methodological systematic review.</w:t>
      </w:r>
      <w:r>
        <w:t xml:space="preserve"> </w:t>
      </w:r>
      <w:r>
        <w:rPr>
          <w:i/>
          <w:iCs/>
        </w:rPr>
        <w:t xml:space="preserve">BMJ Glob Health</w:t>
      </w:r>
      <w:r>
        <w:t xml:space="preserve">. 2020 Oct;5(10):e003567. doi: 10.1136/bmjgh-2020-003567.</w:t>
      </w:r>
    </w:p>
    <w:p>
      <w:pPr>
        <w:numPr>
          <w:ilvl w:val="0"/>
          <w:numId w:val="1001"/>
        </w:numPr>
      </w:pPr>
      <w:r>
        <w:t xml:space="preserve">Ogrinc G, Davies L, Goodman D, Batalden P, Davidoff F, Stevens D. SQUIRE 2.0 (Standards for QUality Improvement Reporting Excellence): revised publication guidelines from a detailed consensus process.</w:t>
      </w:r>
      <w:r>
        <w:t xml:space="preserve"> </w:t>
      </w:r>
      <w:r>
        <w:rPr>
          <w:i/>
          <w:iCs/>
        </w:rPr>
        <w:t xml:space="preserve">BMJ Qual Saf</w:t>
      </w:r>
      <w:r>
        <w:t xml:space="preserve">. 2016 Dec;25(12):986-992. doi: 10.1136/bmjqs-2015-004411.</w:t>
      </w:r>
    </w:p>
    <w:p>
      <w:pPr>
        <w:numPr>
          <w:ilvl w:val="0"/>
          <w:numId w:val="1001"/>
        </w:numPr>
      </w:pPr>
      <w:r>
        <w:t xml:space="preserve">Des Jarlais DC, Lyles C, Crepaz N, Trend Group. Improving the reporting quality of nonrandomized evaluations of behavioral and public health interventions: the TREND statement.</w:t>
      </w:r>
      <w:r>
        <w:t xml:space="preserve"> </w:t>
      </w:r>
      <w:r>
        <w:rPr>
          <w:i/>
          <w:iCs/>
        </w:rPr>
        <w:t xml:space="preserve">Am J Public Health</w:t>
      </w:r>
      <w:r>
        <w:t xml:space="preserve">. 2004;94(3):361-366. doi: 10.2105/ajph.94.3.361.</w:t>
      </w:r>
    </w:p>
    <w:p>
      <w:pPr>
        <w:numPr>
          <w:ilvl w:val="0"/>
          <w:numId w:val="1001"/>
        </w:numPr>
      </w:pPr>
      <w:r>
        <w:t xml:space="preserve">Kudo Y, Takeuchi K, Kusama T, Kojima T, Waguri-Nagaya Y, Nagayoshi M, Kondo K, Mizuta K, Osaka K, Kojima M. Differences in prevalence of self-reported oral hypofunction between older adult patients with rheumatoid arthritis and the general older population: A cross-sectional study using propensity score matching.</w:t>
      </w:r>
      <w:r>
        <w:t xml:space="preserve"> </w:t>
      </w:r>
      <w:r>
        <w:rPr>
          <w:i/>
          <w:iCs/>
        </w:rPr>
        <w:t xml:space="preserve">J Oral Rehabil</w:t>
      </w:r>
      <w:r>
        <w:t xml:space="preserve">. 2024 Jun;51(6):924-930. doi: 10.1111/joor.13658.</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dcterms:created xsi:type="dcterms:W3CDTF">2025-01-31T20:53:43Z</dcterms:created>
  <dcterms:modified xsi:type="dcterms:W3CDTF">2025-01-31T20:53:43Z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