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8F156" w14:textId="77777777" w:rsidR="00E524C5" w:rsidRDefault="00E524C5">
      <w:r>
        <w:t>KONCEPCJA GRAFICZNA, UX/UI I IDENTYFIKACJA WIZUALNA APLIKACJI TENNIS TRIP</w:t>
      </w:r>
    </w:p>
    <w:p w14:paraId="198F6AFA" w14:textId="6C4E9E29" w:rsidR="00E524C5" w:rsidRDefault="00E524C5" w:rsidP="00E524C5">
      <w:pPr>
        <w:pStyle w:val="Akapitzlist"/>
        <w:numPr>
          <w:ilvl w:val="0"/>
          <w:numId w:val="1"/>
        </w:numPr>
      </w:pPr>
      <w:r>
        <w:t xml:space="preserve">Wizja i Styl Graficzny: „Neon Court &amp; </w:t>
      </w:r>
      <w:proofErr w:type="spellStart"/>
      <w:r>
        <w:t>Cyber</w:t>
      </w:r>
      <w:proofErr w:type="spellEnd"/>
      <w:r>
        <w:t xml:space="preserve"> Clay”</w:t>
      </w:r>
    </w:p>
    <w:p w14:paraId="2E07C087" w14:textId="77777777" w:rsidR="00E524C5" w:rsidRDefault="00E524C5">
      <w:r>
        <w:t>Projekt wizualny aplikacji łączy nowoczesną dynamikę skierowaną do młodych zawodników (kategorie U10–U18) z przejrzystością, poczuciem bezpieczeństwa i intuicyjnością wymaganą przez rodziców oraz opiekunów.</w:t>
      </w:r>
    </w:p>
    <w:p w14:paraId="7A71CE5C" w14:textId="77777777" w:rsidR="00E524C5" w:rsidRDefault="00E524C5">
      <w:r>
        <w:t xml:space="preserve"> * Stylistyka: Ultra-nowoczesny, sportowy interfejs wykorzystujący efekt </w:t>
      </w:r>
      <w:proofErr w:type="spellStart"/>
      <w:r>
        <w:t>Glassmorphism</w:t>
      </w:r>
      <w:proofErr w:type="spellEnd"/>
      <w:r>
        <w:t xml:space="preserve"> (półprzezroczyste karty przypominające mrożone szkło) oraz czyste linie nawiązujące do geometrii kortu tenisowego.</w:t>
      </w:r>
    </w:p>
    <w:p w14:paraId="7B069F05" w14:textId="77777777" w:rsidR="00E524C5" w:rsidRDefault="00E524C5">
      <w:r>
        <w:t xml:space="preserve"> * Tryb domyślny (Dark </w:t>
      </w:r>
      <w:proofErr w:type="spellStart"/>
      <w:r>
        <w:t>Mode</w:t>
      </w:r>
      <w:proofErr w:type="spellEnd"/>
      <w:r>
        <w:t xml:space="preserve"> Premium): Ciemne, grafitowe tło eksponuje jaskrawe akcenty kolorystyczne, ogranicza zużycie baterii w </w:t>
      </w:r>
      <w:proofErr w:type="spellStart"/>
      <w:r>
        <w:t>smartfonie</w:t>
      </w:r>
      <w:proofErr w:type="spellEnd"/>
      <w:r>
        <w:t xml:space="preserve"> podczas całodniowych turniejów i nadaje aplikacji profesjonalny charakter.</w:t>
      </w:r>
    </w:p>
    <w:p w14:paraId="480F8FE8" w14:textId="77777777" w:rsidR="00E524C5" w:rsidRDefault="00E524C5">
      <w:r>
        <w:t xml:space="preserve"> * Tryb jasny (</w:t>
      </w:r>
      <w:proofErr w:type="spellStart"/>
      <w:r>
        <w:t>Light</w:t>
      </w:r>
      <w:proofErr w:type="spellEnd"/>
      <w:r>
        <w:t xml:space="preserve"> </w:t>
      </w:r>
      <w:proofErr w:type="spellStart"/>
      <w:r>
        <w:t>Mode</w:t>
      </w:r>
      <w:proofErr w:type="spellEnd"/>
      <w:r>
        <w:t>): Wysokokontrastowy wariant z jasnym tłem, zoptymalizowany pod kątem czytelności w pełnym słońcu na kortach otwartych.</w:t>
      </w:r>
    </w:p>
    <w:p w14:paraId="18109252" w14:textId="77777777" w:rsidR="00E524C5" w:rsidRDefault="00E524C5">
      <w:r>
        <w:t>2. Paleta Kolorów (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Palette</w:t>
      </w:r>
      <w:proofErr w:type="spellEnd"/>
      <w:r>
        <w:t>)</w:t>
      </w:r>
    </w:p>
    <w:p w14:paraId="4ECA21DD" w14:textId="77777777" w:rsidR="00E524C5" w:rsidRDefault="00E524C5">
      <w:r>
        <w:t>Główna paleta barw nawiązuje bezpośrednio do tenisa ziemnego w nowoczesnym wydaniu:</w:t>
      </w:r>
    </w:p>
    <w:p w14:paraId="3B81FF77" w14:textId="77777777" w:rsidR="00E524C5" w:rsidRDefault="00E524C5">
      <w:r>
        <w:t>| Rola w interfejsie | Nazwa koloru | Kod HEX | Zastosowanie |</w:t>
      </w:r>
    </w:p>
    <w:tbl>
      <w:tblPr>
        <w:tblStyle w:val="Tabela-Siatka"/>
        <w:tblW w:w="0" w:type="auto"/>
        <w:tblInd w:w="28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9"/>
        <w:gridCol w:w="309"/>
        <w:gridCol w:w="309"/>
        <w:gridCol w:w="309"/>
      </w:tblGrid>
      <w:tr w:rsidR="00E524C5" w14:paraId="600D7F71" w14:textId="77777777">
        <w:tblPrEx>
          <w:tblCellMar>
            <w:top w:w="0" w:type="dxa"/>
            <w:bottom w:w="0" w:type="dxa"/>
          </w:tblCellMar>
        </w:tblPrEx>
        <w:tc>
          <w:tcPr>
            <w:tcW w:w="309" w:type="dxa"/>
          </w:tcPr>
          <w:p w14:paraId="65C1BFF3" w14:textId="77777777" w:rsidR="00E524C5" w:rsidRDefault="00E524C5"/>
        </w:tc>
        <w:tc>
          <w:tcPr>
            <w:tcW w:w="309" w:type="dxa"/>
          </w:tcPr>
          <w:p w14:paraId="54EDB8F3" w14:textId="77777777" w:rsidR="00E524C5" w:rsidRDefault="00E524C5"/>
        </w:tc>
        <w:tc>
          <w:tcPr>
            <w:tcW w:w="309" w:type="dxa"/>
          </w:tcPr>
          <w:p w14:paraId="3EDD1CCB" w14:textId="77777777" w:rsidR="00E524C5" w:rsidRDefault="00E524C5"/>
        </w:tc>
        <w:tc>
          <w:tcPr>
            <w:tcW w:w="309" w:type="dxa"/>
          </w:tcPr>
          <w:p w14:paraId="43A65B68" w14:textId="77777777" w:rsidR="00E524C5" w:rsidRDefault="00E524C5"/>
        </w:tc>
      </w:tr>
    </w:tbl>
    <w:p w14:paraId="75ABB7E8" w14:textId="77777777" w:rsidR="00E524C5" w:rsidRDefault="00E524C5">
      <w:r>
        <w:t>| Główny Akcent (</w:t>
      </w:r>
      <w:proofErr w:type="spellStart"/>
      <w:r>
        <w:t>Primary</w:t>
      </w:r>
      <w:proofErr w:type="spellEnd"/>
      <w:r>
        <w:t xml:space="preserve">) | </w:t>
      </w:r>
      <w:proofErr w:type="spellStart"/>
      <w:r>
        <w:t>Tennis</w:t>
      </w:r>
      <w:proofErr w:type="spellEnd"/>
      <w:r>
        <w:t xml:space="preserve"> Ball Neon | #D4FF00 | Kolor piłki tenisowej. Główne przyciski akcji (CTA), aktywne zakładki i kluczowe stany. |</w:t>
      </w:r>
    </w:p>
    <w:p w14:paraId="57BB4135" w14:textId="77777777" w:rsidR="00E524C5" w:rsidRDefault="00E524C5">
      <w:r>
        <w:t>| Drugi Akcent (</w:t>
      </w:r>
      <w:proofErr w:type="spellStart"/>
      <w:r>
        <w:t>Secondary</w:t>
      </w:r>
      <w:proofErr w:type="spellEnd"/>
      <w:r>
        <w:t xml:space="preserve">) | Clay Court </w:t>
      </w:r>
      <w:proofErr w:type="spellStart"/>
      <w:r>
        <w:t>Coral</w:t>
      </w:r>
      <w:proofErr w:type="spellEnd"/>
      <w:r>
        <w:t xml:space="preserve"> | #FF5E3A | Barwa mączki ceglanej. Sekcje kosztów, statusy wolnych miejsc i akcje drugorzędne. |</w:t>
      </w:r>
    </w:p>
    <w:p w14:paraId="45C166BF" w14:textId="77777777" w:rsidR="00E524C5" w:rsidRDefault="00E524C5">
      <w:r>
        <w:t xml:space="preserve">| Bezpieczeństwo &amp; Weryfikacja | </w:t>
      </w:r>
      <w:proofErr w:type="spellStart"/>
      <w:r>
        <w:t>Cyber</w:t>
      </w:r>
      <w:proofErr w:type="spellEnd"/>
      <w:r>
        <w:t xml:space="preserve"> </w:t>
      </w:r>
      <w:proofErr w:type="spellStart"/>
      <w:r>
        <w:t>Cyan</w:t>
      </w:r>
      <w:proofErr w:type="spellEnd"/>
      <w:r>
        <w:t xml:space="preserve"> / </w:t>
      </w:r>
      <w:proofErr w:type="spellStart"/>
      <w:r>
        <w:t>Emerald</w:t>
      </w:r>
      <w:proofErr w:type="spellEnd"/>
      <w:r>
        <w:t xml:space="preserve"> | #00F0FF / #10B981 | Oznaczenia zweryfikowanych kont rodziców, zgód i bezpiecznych grup wyjazdowych. |</w:t>
      </w:r>
    </w:p>
    <w:p w14:paraId="278F74B8" w14:textId="77777777" w:rsidR="00E524C5" w:rsidRDefault="00E524C5">
      <w:r>
        <w:t xml:space="preserve">| Tło (Dark </w:t>
      </w:r>
      <w:proofErr w:type="spellStart"/>
      <w:r>
        <w:t>Mode</w:t>
      </w:r>
      <w:proofErr w:type="spellEnd"/>
      <w:r>
        <w:t xml:space="preserve">) | </w:t>
      </w:r>
      <w:proofErr w:type="spellStart"/>
      <w:r>
        <w:t>Deep</w:t>
      </w:r>
      <w:proofErr w:type="spellEnd"/>
      <w:r>
        <w:t xml:space="preserve"> Court </w:t>
      </w:r>
      <w:proofErr w:type="spellStart"/>
      <w:r>
        <w:t>Graphite</w:t>
      </w:r>
      <w:proofErr w:type="spellEnd"/>
      <w:r>
        <w:t xml:space="preserve"> | #0D131E | Ciemnografitowe tło aplikacji zapobiegające zmęczeniu oczu. |</w:t>
      </w:r>
    </w:p>
    <w:p w14:paraId="457D8DB0" w14:textId="77777777" w:rsidR="00E524C5" w:rsidRDefault="00E524C5">
      <w:r>
        <w:t xml:space="preserve">| Karty UI | Mrożone Szkło | </w:t>
      </w:r>
      <w:proofErr w:type="spellStart"/>
      <w:r>
        <w:t>rgba</w:t>
      </w:r>
      <w:proofErr w:type="spellEnd"/>
      <w:r>
        <w:t>(22, 32, 50, 0.7) | Półprzezroczyste tła modułów z delikatnym obramowaniem. |</w:t>
      </w:r>
    </w:p>
    <w:p w14:paraId="7CB1606A" w14:textId="77777777" w:rsidR="00E524C5" w:rsidRDefault="00E524C5">
      <w:r>
        <w:t>| Tło (</w:t>
      </w:r>
      <w:proofErr w:type="spellStart"/>
      <w:r>
        <w:t>Light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) | </w:t>
      </w:r>
      <w:proofErr w:type="spellStart"/>
      <w:r>
        <w:t>Soft</w:t>
      </w:r>
      <w:proofErr w:type="spellEnd"/>
      <w:r>
        <w:t xml:space="preserve"> </w:t>
      </w:r>
      <w:proofErr w:type="spellStart"/>
      <w:r>
        <w:t>Ice</w:t>
      </w:r>
      <w:proofErr w:type="spellEnd"/>
      <w:r>
        <w:t xml:space="preserve"> Gray | #F4F6FB | Jasne tło wariantu dziennego. |</w:t>
      </w:r>
    </w:p>
    <w:p w14:paraId="3BCCCDA6" w14:textId="77777777" w:rsidR="00E524C5" w:rsidRDefault="00E524C5">
      <w:r>
        <w:t>3. Typografia i Ikonografia</w:t>
      </w:r>
    </w:p>
    <w:p w14:paraId="3AFA3EFC" w14:textId="77777777" w:rsidR="00E524C5" w:rsidRDefault="00E524C5">
      <w:r>
        <w:t xml:space="preserve"> * Nagłówki (</w:t>
      </w:r>
      <w:proofErr w:type="spellStart"/>
      <w:r>
        <w:t>Titles</w:t>
      </w:r>
      <w:proofErr w:type="spellEnd"/>
      <w:r>
        <w:t xml:space="preserve"> &amp; </w:t>
      </w:r>
      <w:proofErr w:type="spellStart"/>
      <w:r>
        <w:t>Headery</w:t>
      </w:r>
      <w:proofErr w:type="spellEnd"/>
      <w:r>
        <w:t xml:space="preserve">): </w:t>
      </w:r>
      <w:proofErr w:type="spellStart"/>
      <w:r>
        <w:t>Clash</w:t>
      </w:r>
      <w:proofErr w:type="spellEnd"/>
      <w:r>
        <w:t xml:space="preserve"> Display lub Plus </w:t>
      </w:r>
      <w:proofErr w:type="spellStart"/>
      <w:r>
        <w:t>Jakarta</w:t>
      </w:r>
      <w:proofErr w:type="spellEnd"/>
      <w:r>
        <w:t xml:space="preserve"> Sans (</w:t>
      </w:r>
      <w:proofErr w:type="spellStart"/>
      <w:r>
        <w:t>Bold</w:t>
      </w:r>
      <w:proofErr w:type="spellEnd"/>
      <w:r>
        <w:t xml:space="preserve"> / Heavy) — geometryczne, dynamiczne kroje pisma o sportowym charakterze.</w:t>
      </w:r>
    </w:p>
    <w:p w14:paraId="2D4F0FAE" w14:textId="77777777" w:rsidR="00E524C5" w:rsidRDefault="00E524C5">
      <w:r>
        <w:t xml:space="preserve"> * Treść i Dane (Body / Formularze): Inter lub </w:t>
      </w:r>
      <w:proofErr w:type="spellStart"/>
      <w:r>
        <w:t>Outfit</w:t>
      </w:r>
      <w:proofErr w:type="spellEnd"/>
      <w:r>
        <w:t xml:space="preserve"> (</w:t>
      </w:r>
      <w:proofErr w:type="spellStart"/>
      <w:r>
        <w:t>Regular</w:t>
      </w:r>
      <w:proofErr w:type="spellEnd"/>
      <w:r>
        <w:t xml:space="preserve"> / Medium) — </w:t>
      </w:r>
      <w:proofErr w:type="spellStart"/>
      <w:r>
        <w:t>bezszeryfowa</w:t>
      </w:r>
      <w:proofErr w:type="spellEnd"/>
      <w:r>
        <w:t xml:space="preserve"> czcionka zapewniająca wysoką czytelność przy zestawieniach trasy, godzinach odjazdów i kalkulacjach kosztów.</w:t>
      </w:r>
    </w:p>
    <w:p w14:paraId="4D1960A6" w14:textId="078FE784" w:rsidR="00E524C5" w:rsidRDefault="00E524C5">
      <w:r>
        <w:t xml:space="preserve"> * Ikonografia: Proste, liniowe ikony z neonowymi akcentami (np. Rakieta, autko z liczbą wolnych miejsc, łóżko hotelowe, odznaka bezpieczeństwa).</w:t>
      </w:r>
    </w:p>
    <w:p w14:paraId="619DA35C" w14:textId="77777777" w:rsidR="00E524C5" w:rsidRDefault="00E524C5">
      <w:r>
        <w:t xml:space="preserve">4. Kluczowe Rozwiązania UX (User </w:t>
      </w:r>
      <w:proofErr w:type="spellStart"/>
      <w:r>
        <w:t>Experience</w:t>
      </w:r>
      <w:proofErr w:type="spellEnd"/>
      <w:r>
        <w:t>)</w:t>
      </w:r>
    </w:p>
    <w:p w14:paraId="7790DF34" w14:textId="77777777" w:rsidR="00E524C5" w:rsidRDefault="00E524C5">
      <w:r>
        <w:t xml:space="preserve">A. System </w:t>
      </w:r>
      <w:proofErr w:type="spellStart"/>
      <w:r>
        <w:t>Dopasowań</w:t>
      </w:r>
      <w:proofErr w:type="spellEnd"/>
      <w:r>
        <w:t xml:space="preserve"> (Smart </w:t>
      </w:r>
      <w:proofErr w:type="spellStart"/>
      <w:r>
        <w:t>Matching</w:t>
      </w:r>
      <w:proofErr w:type="spellEnd"/>
      <w:r>
        <w:t xml:space="preserve"> Engine)</w:t>
      </w:r>
    </w:p>
    <w:p w14:paraId="0BCFC57B" w14:textId="77777777" w:rsidR="00E524C5" w:rsidRDefault="00E524C5">
      <w:r>
        <w:t xml:space="preserve">Użytkownik nie szuka współpasażerów ani noclegów ręcznie. Po zaznaczeniu udziału w wydarzeniu (np. „Jadę na </w:t>
      </w:r>
      <w:proofErr w:type="spellStart"/>
      <w:r>
        <w:t>Tennis</w:t>
      </w:r>
      <w:proofErr w:type="spellEnd"/>
      <w:r>
        <w:t xml:space="preserve"> Europe U16 Zabrze”), na ekranie głównym pojawiają się gotowe propozycje </w:t>
      </w:r>
      <w:proofErr w:type="spellStart"/>
      <w:r>
        <w:t>dopasowań</w:t>
      </w:r>
      <w:proofErr w:type="spellEnd"/>
      <w:r>
        <w:t>:</w:t>
      </w:r>
    </w:p>
    <w:p w14:paraId="3CD7AF43" w14:textId="77777777" w:rsidR="00E524C5" w:rsidRDefault="00E524C5">
      <w:r>
        <w:t xml:space="preserve"> * „Znaleziono 2 wolne miejsca w aucie z Katowic (Kierowca: Rodzic Jan M. – Zweryfikowany)”.</w:t>
      </w:r>
    </w:p>
    <w:p w14:paraId="396B844B" w14:textId="77777777" w:rsidR="00E524C5" w:rsidRDefault="00E524C5">
      <w:r>
        <w:t xml:space="preserve"> * „2 zawodników szuka współlokatora do pokoju w obiekcie turniejowym”.</w:t>
      </w:r>
    </w:p>
    <w:p w14:paraId="6CBEFAC0" w14:textId="77777777" w:rsidR="00E524C5" w:rsidRDefault="00E524C5">
      <w:r>
        <w:t>B. Bezpieczeństwo i Dwa Typy Kont</w:t>
      </w:r>
    </w:p>
    <w:p w14:paraId="75A678DB" w14:textId="77777777" w:rsidR="00E524C5" w:rsidRDefault="00E524C5">
      <w:r>
        <w:t xml:space="preserve"> * Odznaka „</w:t>
      </w:r>
      <w:proofErr w:type="spellStart"/>
      <w:r>
        <w:t>Parent</w:t>
      </w:r>
      <w:proofErr w:type="spellEnd"/>
      <w:r>
        <w:t xml:space="preserve"> </w:t>
      </w:r>
      <w:proofErr w:type="spellStart"/>
      <w:r>
        <w:t>Verified</w:t>
      </w:r>
      <w:proofErr w:type="spellEnd"/>
      <w:r>
        <w:t>”: Widoczny symbol weryfikacji tożsamości rodzica/opiekuna przy profilach niepełnoletnich zawodników oraz kierowców.</w:t>
      </w:r>
    </w:p>
    <w:p w14:paraId="0E7752FC" w14:textId="77777777" w:rsidR="00E524C5" w:rsidRDefault="00E524C5">
      <w:r>
        <w:t xml:space="preserve"> * Szybka zmiana widoku: Rodzic może jednym kliknięciem przełączyć się z </w:t>
      </w:r>
      <w:proofErr w:type="spellStart"/>
      <w:r>
        <w:t>panela</w:t>
      </w:r>
      <w:proofErr w:type="spellEnd"/>
      <w:r>
        <w:t xml:space="preserve"> zarządzania wyjazdami dziecka na swój profil opiekuna.</w:t>
      </w:r>
    </w:p>
    <w:p w14:paraId="12B756E8" w14:textId="77777777" w:rsidR="00E524C5" w:rsidRDefault="00E524C5">
      <w:r>
        <w:t>C. Karta Wyjazdu („One-Stop Trip Card”)</w:t>
      </w:r>
    </w:p>
    <w:p w14:paraId="1E8DAF17" w14:textId="77777777" w:rsidR="00E524C5" w:rsidRDefault="00E524C5">
      <w:r>
        <w:t>W zakładce Moje Wyjazdy każdy wyjazd przedstawiony jest jako spójny moduł zawierający:</w:t>
      </w:r>
    </w:p>
    <w:p w14:paraId="3C82D0A9" w14:textId="77777777" w:rsidR="00E524C5" w:rsidRDefault="00E524C5">
      <w:r>
        <w:t xml:space="preserve"> * Informacje o turnieju i terminach.</w:t>
      </w:r>
    </w:p>
    <w:p w14:paraId="018BABEE" w14:textId="77777777" w:rsidR="00E524C5" w:rsidRDefault="00E524C5">
      <w:r>
        <w:t xml:space="preserve"> * Status transportu (np. Zapewniony – wspólny przejazd).</w:t>
      </w:r>
    </w:p>
    <w:p w14:paraId="664F7657" w14:textId="77777777" w:rsidR="00E524C5" w:rsidRDefault="00E524C5">
      <w:r>
        <w:t xml:space="preserve"> * Status zakwaterowania (np. Rezerwacja w grupie 3-osobowej).</w:t>
      </w:r>
    </w:p>
    <w:p w14:paraId="117BE03F" w14:textId="77777777" w:rsidR="00E524C5" w:rsidRDefault="00E524C5">
      <w:r>
        <w:t xml:space="preserve"> * Czat dedykowany dla danej grupy wyjazdowej.</w:t>
      </w:r>
    </w:p>
    <w:p w14:paraId="58567A65" w14:textId="77777777" w:rsidR="00E524C5" w:rsidRDefault="00E524C5">
      <w:r>
        <w:t xml:space="preserve"> * Automatyczne zestawienie podziału kosztów.</w:t>
      </w:r>
    </w:p>
    <w:p w14:paraId="08A266A9" w14:textId="77777777" w:rsidR="00E524C5" w:rsidRDefault="00E524C5">
      <w:r>
        <w:t>5. Struktura Interfejsu UI (Główne Ekrany)</w:t>
      </w:r>
    </w:p>
    <w:p w14:paraId="59491F6F" w14:textId="77777777" w:rsidR="00E524C5" w:rsidRDefault="00E524C5">
      <w:r>
        <w:t xml:space="preserve"> * Start (Centrum Dowodzenia): Ekran prezentujący najbliższe turnieje, aktywne powiadomienia o </w:t>
      </w:r>
      <w:proofErr w:type="spellStart"/>
      <w:r>
        <w:t>dopasowaniach</w:t>
      </w:r>
      <w:proofErr w:type="spellEnd"/>
      <w:r>
        <w:t xml:space="preserve"> transportu/noclegu oraz szybki dostęp do wiadomości.</w:t>
      </w:r>
    </w:p>
    <w:p w14:paraId="6547CE72" w14:textId="77777777" w:rsidR="00E524C5" w:rsidRDefault="00E524C5">
      <w:r>
        <w:t xml:space="preserve"> * Turnieje (Kalendarz): Wyszukiwarka wydarzeń (OTK, </w:t>
      </w:r>
      <w:proofErr w:type="spellStart"/>
      <w:r>
        <w:t>Tennis</w:t>
      </w:r>
      <w:proofErr w:type="spellEnd"/>
      <w:r>
        <w:t xml:space="preserve"> Europe, ITF) z filtrowaniem według dystansu, kategorii wiekowej i daty oraz przyciskiem „Jadę na ten turniej”.</w:t>
      </w:r>
    </w:p>
    <w:p w14:paraId="0EC7E58D" w14:textId="77777777" w:rsidR="00E524C5" w:rsidRDefault="00E524C5">
      <w:r>
        <w:t xml:space="preserve"> * Przejazdy: Moduł z osobnymi sekcjami „Mam wolne miejsce” i „Szukam przejazdu”, prezentujący trasy, godziny oraz sugerowany podział kosztów paliwa.</w:t>
      </w:r>
    </w:p>
    <w:p w14:paraId="25BE088C" w14:textId="77777777" w:rsidR="00E524C5" w:rsidRDefault="00E524C5">
      <w:r>
        <w:t xml:space="preserve"> * Noclegi: Moduł podziału zakwaterowania na trzy kategorie: Wspólny hotel/apartament, Szukam współlokatora oraz Nocleg u rodziny zawodnika.</w:t>
      </w:r>
    </w:p>
    <w:p w14:paraId="065AB0CA" w14:textId="77777777" w:rsidR="00E524C5" w:rsidRDefault="00E524C5">
      <w:r>
        <w:t xml:space="preserve"> * Moje Wyjazdy: Lista nadchodzących, organizowanych i zakończonych wyjazdów w formie przejrzystych kart.</w:t>
      </w:r>
    </w:p>
    <w:p w14:paraId="603CE543" w14:textId="77777777" w:rsidR="00E524C5" w:rsidRDefault="00E524C5">
      <w:r>
        <w:t xml:space="preserve"> * Wiadomości: Czaty prywatne oraz automatyczne grupy czatowe tworzone dla konkretnych przejazdów i noclegów.</w:t>
      </w:r>
    </w:p>
    <w:p w14:paraId="1B3417CE" w14:textId="77777777" w:rsidR="00E524C5" w:rsidRDefault="00E524C5">
      <w:r>
        <w:t xml:space="preserve"> * Profil: Rozdzielone profile dla zawodnika (klub, ranking, kategoria) oraz dla rodzica (zgody, weryfikacja, historia wyjazdów).</w:t>
      </w:r>
    </w:p>
    <w:p w14:paraId="3881F2DB" w14:textId="77777777" w:rsidR="00E524C5" w:rsidRDefault="00E524C5"/>
    <w:p w14:paraId="47B8010D" w14:textId="77777777" w:rsidR="00E524C5" w:rsidRDefault="00E524C5"/>
    <w:sectPr w:rsidR="00E524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621021"/>
    <w:multiLevelType w:val="hybridMultilevel"/>
    <w:tmpl w:val="381883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4042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4C5"/>
    <w:rsid w:val="007E3B74"/>
    <w:rsid w:val="00E52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A1CCD8"/>
  <w15:chartTrackingRefBased/>
  <w15:docId w15:val="{8DC08FF8-C9F5-EF47-899C-E2C45880D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E52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E52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524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52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524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52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52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52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52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524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E524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524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524C5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524C5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524C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524C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524C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524C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52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52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52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E52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52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E524C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524C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524C5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524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524C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524C5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E524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644</Words>
  <Characters>3865</Characters>
  <Application>Microsoft Office Word</Application>
  <DocSecurity>0</DocSecurity>
  <Lines>32</Lines>
  <Paragraphs>8</Paragraphs>
  <ScaleCrop>false</ScaleCrop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Paweł Mesznik</dc:creator>
  <cp:keywords/>
  <dc:description/>
  <cp:lastModifiedBy>Paweł Mesznik</cp:lastModifiedBy>
  <cp:revision>2</cp:revision>
  <dcterms:created xsi:type="dcterms:W3CDTF">2026-09-10T21:33:00Z</dcterms:created>
  <dcterms:modified xsi:type="dcterms:W3CDTF">2026-09-10T21:33:00Z</dcterms:modified>
</cp:coreProperties>
</file>