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навязывают оплату или исправление чужой вины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разбор претензии генподрядчика: от получения до мотивированного ответа и экспертизы.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зеркало алгоритма действий при задержке оплаты: там субподрядчик требует своё, здесь — отбивается от чужого. Общий принцип тот же: защита строится до претензии; документ, не созданный на площадке, в ответе уже не появится. Профилактическая часть — соглашение о разграничении ответственности и чек-лист профилактики из этого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часа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Получив претензию, ничего не признавать и ничего не игнорировать. Молчание суд читает как уклонение от урегулирования; голое «мы не виноваты» без документов — тоже. Единственный правильный первый шаг — зафиксировать дату получения и разобрать претензию по шагам ниже.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Шаги алгоритма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Разобрать претензию на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требованию отдельно ответить на четыре вопроса: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Наша ли зона? Сверить с договором, актом передачи фронта работ, соглашением о разграничении ответственности (файл этого комплекта). Не наша — в отказ, со ссылкой на документ границы.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Доказано ли? Чем подтверждён сам факт: двусторонний акт, односторонний акт с надлежащим вызовом, экспертиза — или голое утверждение?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753 ГК РФ; при уклонении от приёмки — односторонний акт по правилам файла «Алгоритм действий при задержке оплаты», раздел Б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Мотивированный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Реквизиты претензии и договора; дата получения.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Ссылка на несуществующий документ хуже признания.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Экспертиза — когда слова кончились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Если удержали из оплаты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Письменное несогласие с удержанием — сразу, до всяких переговоров.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Дальше — по файлу «Алгоритм действий при задержке оплаты»: претензия, иск, обеспечительные меры.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Отдельно про риск до приёмки (сценарий С5)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«мы не виноваты» без документов.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 (ст. 724, 756 ГК РФ), исковая давность — установлены законом и договором; проверяйте их в действующей редакции или у юриста. В файл они не записаны намеренно: значения меняются, а скачанный файл не обновляется.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