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/>
        <w:widowControl/>
        <w:spacing w:after="40" w:line="262" w:before="40" w:lineRule="auto"/>
        <w:ind w:left="4535" w:righ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Кому: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{{НАИМЕНОВАНИЕ_ГЕНПОДРЯДЧИКА}}</w:t>
      </w:r>
    </w:p>
    <w:p>
      <w:pPr>
        <w:keepNext/>
        <w:keepLines/>
        <w:widowControl/>
        <w:spacing w:after="40" w:line="262" w:before="40" w:lineRule="auto"/>
        <w:ind w:left="4535" w:right="0" w:firstLine="0"/>
        <w:jc w:val="left"/>
      </w:pPr>
      <w:r>
        <w:rPr>
          <w:rFonts w:ascii="Arial" w:cs="Arial" w:eastAsia="Arial" w:hAnsi="Arial"/>
          <w:i w:val="0"/>
          <w:color w:val="31363C"/>
          <w:sz w:val="18"/>
          <w:szCs w:val="24"/>
        </w:rPr>
        <w:t xml:space="preserve">От: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18"/>
          <w:szCs w:val="24"/>
        </w:rPr>
        <w:t xml:space="preserve">{{НАИМЕНОВАНИЕ_ПОДРЯДЧИКА}}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b/>
          <w:bCs/>
          <w:i w:val="0"/>
          <w:color w:val="31363C"/>
          <w:sz w:val="21"/>
          <w:szCs w:val="24"/>
        </w:rPr>
        <w:t xml:space="preserve">ОТВЕТ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на гарантийное требование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Требование об устранении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{{ОПИСАНИЕ_ДЕФЕКТА_ИЗ_ПРЕТЕНЗИИ}}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рассмотрено.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1. Для установления причин заявленного просим предоставить: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дату обнаружения и обстоятельства;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условия эксплуатации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{{ЧЕГО: помещения, конструкции, системы}}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за период с приёмки: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{{РЕЖИМ, НАГРУЗКИ, ТЕМПЕРАТУРНО-ВЛАЖНОСТНЫЙ РЕЖИМ — по применимости}}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;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сведения о работах, выполнявшихся в зоне дефекта после приёмки (кем, когда, по каким документам);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материалы фиксации (фото, акты) на момент обнаружения.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2. Предлагаем комиссионный осмотр с участием Подрядчика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{{ПРЕДЛАГАЕМАЯ_ДАТА}}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 До осмотра просим не производить вскрытие, разборку или ремонт зоны дефекта: это сделает установление причины невозможным и лишит стороны доказательств.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3. По результатам осмотра, при расхождении о причинах, предлагаем строительно-техническую экспертизу с вопросом о причине дефекта (работы / эксплуатация / износ / вмешательство третьих лиц).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Обязательства по устранению дефектов, вызванных производством работ, Подрядчик подтверждает и при установлении такой причины выполнит их в согласованный срок. Возложение на Подрядчика устранения последствий </w:t>
      </w:r>
      <w:r>
        <w:rPr>
          <w:rFonts w:ascii="Arial" w:cs="Arial" w:eastAsia="Arial" w:hAnsi="Arial"/>
          <w:b/>
          <w:bCs/>
          <w:i w:val="0"/>
          <w:iCs w:val="false"/>
          <w:color w:val="31363C"/>
          <w:sz w:val="21"/>
          <w:szCs w:val="24"/>
        </w:rPr>
        <w:t xml:space="preserve">{{ПРИ_НАЛИЧИИ_ОСНОВАНИЙ: нормального износа / нарушения правил эксплуатации, переданных {{РЕКВИЗИТЫ_ИНСТРУКЦИИ}} / ремонта, выполненного третьими лицами}}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считаем необоснованным.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Приложения: </w:t>
      </w:r>
      <w:r>
        <w:rPr>
          <w:rFonts w:ascii="Arial" w:cs="Arial" w:eastAsia="Arial" w:hAnsi="Arial"/>
          <w:b/>
          <w:bCs/>
          <w:i w:val="0"/>
          <w:iCs w:val="false"/>
          <w:color w:val="31363C"/>
          <w:sz w:val="21"/>
          <w:szCs w:val="24"/>
        </w:rPr>
        <w:t xml:space="preserve">{{ИНСТРУКЦИИ_ПО_ЭКСПЛУАТАЦИИ_С_ОТМЕТКОЙ_ПЕРЕДАЧИ, ИСПОЛНИТЕЛЬНАЯ_ДОКУМЕНТАЦИЯ_ПО_ЗОНЕ, ИНОЕ}}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{{ДОЛЖНОСТЬ}}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{{ПОДПИСЬ}}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{{ФИО}}</w:t>
      </w:r>
    </w:p>
    <w:p>
      <w:pPr>
        <w:pStyle w:val="Heading1"/>
        <w:keepNext/>
        <w:pageBreakBefore/>
        <w:widowControl/>
        <w:spacing w:after="240" w:before="0" w:line="257" w:lineRule="auto"/>
        <w:pBdr>
          <w:bottom w:val="single" w:color="B58C43" w:sz="16" w:space="7"/>
        </w:pBdr>
      </w:pPr>
      <w:r>
        <w:rPr>
          <w:rFonts w:ascii="Arial" w:cs="Arial" w:eastAsia="Arial" w:hAnsi="Arial"/>
          <w:b/>
          <w:bCs/>
          <w:i w:val="0"/>
          <w:color w:val="30353B"/>
          <w:sz w:val="30"/>
          <w:szCs w:val="32"/>
        </w:rPr>
        <w:t xml:space="preserve">Ответ на гарантийную претензию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>Ответ на требование устранить дефект «по гарантии»: перевод спора в установление причины. Форма и порядок заполнения.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65"/>
              <w:left w:type="dxa" w:w="200"/>
              <w:bottom w:type="dxa" w:w="65"/>
              <w:right w:type="dxa" w:w="20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31363C"/>
                <w:sz w:val="18"/>
                <w:szCs w:val="24"/>
              </w:rPr>
              <w:t>Проверка перед оформлением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Сверьте реквизиты сторон, полномочия подписанта, условия договора и срок направления документа.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По каждому требованию установите основание, обстоятельства, размер спорной суммы, расчёт и перечень подтверждений. Зафиксируйте содержание ответа и способ его доставки.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 наличии судебного производства, банкротства стороны или предписаний контролирующих органов определите применимый порядок действий и состав необходимых материалов.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Применимые сроки и расчётные величины определяйте по договору, фактическим данным и действующим нормам на дату составления документа.</w:t>
            </w:r>
          </w:p>
        </w:tc>
      </w:tr>
    </w:tbl>
    <w:p>
      <w:pPr>
        <w:widowControl/>
        <w:spacing w:after="80" w:line="271" w:before="0" w:lineRule="auto"/>
      </w:pP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Получив претензию: зафиксируйте дату и способ получения, посчитайте договорный срок ответа, до истечения срока не признавайте ничего ни письменно, ни в переписке в мессенджерах. Ответ по существу — документом, а не звонком.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Назначение документа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Ответ на требование устранить дефект «по гарантии», когда есть основания считать причиной не работы, а эксплуатацию, износ или чужое вмешательство. В гарантийный срок действует презумпция ответственности подрядчика, и опровергать её — износом, неправильной эксплуатацией, чужим ремонтом — должен он (ст. 755 ГК РФ). Поэтому задача документа — не спорить словами (при презумпции против нас это проигрыш), а перевести спор в русло установления причины: данные, комиссионный осмотр, экспертиза.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Когда применяется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Получено гарантийное требование в пределах гарантийного срока по договору. Если срок истёк или дефект заявлен вне гарантийных обязательств — это другой ответ: ответ на претензию (отдельный документ комплекта), позиция «требование вне оснований».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Примечания по заполнению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Пункт 2 (не вскрывать до осмотра) — самый ценный: вскрытая и «подремонтированная» зона делает экспертизу бессмысленной, а презумпция тогда работает против подрядчика в полную силу.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При рассмотрении гарантийного требования сопоставьте заявленный дефект с исполнительной документацией, сертификатами, актами передачи и инструкциями по эксплуатации. Приложите имеющиеся подтверждения и отдельно отразите документы, подлежащие получению.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Явку на осмотр вести по правилам возражения на односторонний акт (отдельный документ комплекта): со специалистом и фотофиксацией.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Отправка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Способом с подтверждением получения, в договорный срок ответа.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Текст ответа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widowControl/>
        <w:pBdr>
          <w:bottom w:val="single" w:color="BFBFBF" w:sz="6" w:space="6"/>
        </w:pBdr>
        <w:spacing w:after="80" w:before="0" w:line="271" w:lineRule="auto"/>
      </w:pPr>
    </w:p>
    <w:sectPr>
      <w:headerReference w:type="default" r:id="rId8"/>
      <w:footerReference w:type="default" r:id="rId9"/>
      <w:pgSz w:w="11906" w:h="16838" w:orient="portrait"/>
      <w:pgMar w:top="1009" w:right="1049" w:bottom="964" w:left="1304" w:header="425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rFonts w:ascii="Arial" w:hAnsi="Arial"/>
      <w:b/>
      <w:color w:val="30353B"/>
      <w:sz w:val="30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b/>
      <w:color w:val="30353B"/>
      <w:sz w:val="24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b/>
      <w:color w:val="30353B"/>
      <w:sz w:val="22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31363C"/>
      <w:sz w:val="21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31363C"/>
      <w:sz w:val="21"/>
    </w:rPr>
  </w:style>
  <w:style w:type="paragraph" w:styleId="Heading5">
    <w:name w:val="Heading 5"/>
    <w:basedOn w:val="Normal"/>
    <w:next w:val="Normal"/>
    <w:qFormat/>
    <w:rPr>
      <w:rFonts w:ascii="Arial" w:hAnsi="Arial"/>
      <w:color w:val="31363C"/>
      <w:sz w:val="21"/>
    </w:rPr>
  </w:style>
  <w:style w:type="paragraph" w:styleId="Heading6">
    <w:name w:val="Heading 6"/>
    <w:basedOn w:val="Normal"/>
    <w:next w:val="Normal"/>
    <w:qFormat/>
    <w:rPr>
      <w:rFonts w:ascii="Arial" w:hAnsi="Arial"/>
      <w:color w:val="31363C"/>
      <w:sz w:val="21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  <w:color w:val="31363C"/>
      <w:sz w:val="21"/>
    </w:rPr>
  </w:style>
  <w:style w:type="paragraph" w:styleId="ListParagraph">
    <w:name w:val="List Paragraph"/>
    <w:basedOn w:val="Normal"/>
    <w:qFormat/>
    <w:rPr>
      <w:rFonts w:ascii="Arial" w:hAnsi="Arial"/>
      <w:color w:val="31363C"/>
      <w:sz w:val="21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2026-08-02T14:18:39.008Z</dcterms:created>
  <dcterms:modified xsi:type="dcterms:W3CDTF">2026-08-02T14:18:39.009Z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