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Акт входного контроля давальческих материалов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Фиксация состояния и комплектности материала заказчика/генподрядчика в момент передачи.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Результаты входного контроля зафиксируйте в акте и письменно уведомите контрагента в порядке, установленном ст. 716 ГК РФ, если выявлены непригодность материалов либо иные препятствия выполнению работ. Формы обоих документов входят в комплект.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При возникшем споре используйте документ вместе с договором, подтверждениями выполнения работ и материалами для правовой оценки.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акта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АКТ ВХОДНОГО КОНТРОЛЯ ДАВАЛЬЧЕСКИХ МАТЕРИАЛОВ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{{НОМЕР_АКТА}}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{{ДАТА_АКТА}}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Материал: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{{НАИМЕНОВАНИЕ_МАРКА_ПАРТИЯ}}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Передан по: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{{НАКЛАДНАЯ_РЕКВИЗИТЫ}}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Количество: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{{КОЛИЧЕСТВО_ФАКТ}}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(по накладной: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{{КОЛИЧЕСТВО_ДОКУМЕНТ}}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Проверено: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Паспорт качества / сертификат: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{{ЕСТЬ_РЕКВИЗИТЫ / ОТСУТСТВУЕТ}}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Соответствие проекту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{{ШИФР_ПОЗИЦИЯ}}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{{СООТВЕТСТВУЕТ / НЕТ}}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Внешнее состояние (повреждения, следы хранения):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Условия и сроки годности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{{ЧТО_ПРИМЕНИМО}}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{{В_НОРМЕ / НЕТ}}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Фотофиксация: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{{ЧИСЛО_ФОТО}}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снимков (приложение)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Заключение: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пригоден к применению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пригоден с оговорками: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{{ОГОВОРКИ}}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☐ НЕ пригоден: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{{ПРИЧИНА}}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направляется предупреждение по ст. 716 ГК (письмо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{{НОМЕР_ПИСЬМА}}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), работы с материалом приостановлены.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