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240" w:before="0" w:line="257" w:lineRule="auto"/>
        <w:pBdr>
          <w:bottom w:val="single" w:color="B58C43" w:sz="16" w:space="7"/>
        </w:pBdr>
      </w:pPr>
      <w:r>
        <w:rPr>
          <w:rFonts w:ascii="Arial" w:cs="Arial" w:eastAsia="Arial" w:hAnsi="Arial"/>
          <w:b/>
          <w:bCs/>
          <w:i w:val="0"/>
          <w:color w:val="30353B"/>
          <w:sz w:val="30"/>
          <w:szCs w:val="32"/>
        </w:rPr>
        <w:t xml:space="preserve">Регламент комиссионной фиксации дефектов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>Двусторонний порядок фиксации недостатков — приложение к договору или отдельное соглашение. Форма и порядок заполнения.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65"/>
              <w:left w:type="dxa" w:w="200"/>
              <w:bottom w:type="dxa" w:w="65"/>
              <w:right w:type="dxa" w:w="200"/>
              <w:start w:w="90" w:type="dxa"/>
              <w:end w:w="90" w:type="dxa"/>
            </w:tcMar>
            <w:vAlign w:val="center"/>
            <w:tcBorders>
              <w:top w:val="single" w:sz="4" w:color="DFE2E5"/>
              <w:left w:val="single" w:sz="4" w:color="DFE2E5"/>
              <w:bottom w:val="single" w:sz="4" w:color="DFE2E5"/>
              <w:right w:val="single" w:sz="4" w:color="DFE2E5"/>
            </w:tcBorders>
          </w:tcPr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b/>
                <w:bCs/>
                <w:i w:val="0"/>
                <w:color w:val="31363C"/>
                <w:sz w:val="18"/>
                <w:szCs w:val="24"/>
              </w:rPr>
              <w:t>Проверка перед оформлением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Сверьте реквизиты сторон, полномочия подписанта, условия договора и срок направления документа.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По каждому требованию установите основание, обстоятельства, размер спорной суммы, расчёт и перечень подтверждений. Зафиксируйте содержание ответа и способ его доставки.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 наличии судебного производства, банкротства стороны или предписаний контролирующих органов определите применимый порядок действий и состав необходимых материалов.</w:t>
            </w:r>
          </w:p>
          <w:p>
            <w:pPr>
              <w:widowControl/>
              <w:spacing w:after="18" w:line="252" w:before="0" w:lineRule="auto"/>
            </w:pPr>
            <w:r>
              <w:rPr>
                <w:rFonts w:ascii="Arial" w:cs="Arial" w:eastAsia="Arial" w:hAnsi="Arial"/>
                <w:i w:val="0"/>
                <w:color w:val="31363C"/>
                <w:sz w:val="18"/>
                <w:szCs w:val="24"/>
              </w:rPr>
              <w:t>Применимые сроки и расчётные величины определяйте по договору, фактическим данным и действующим нормам на дату составления документа.</w:t>
            </w:r>
          </w:p>
        </w:tc>
      </w:tr>
    </w:tbl>
    <w:p>
      <w:pPr>
        <w:widowControl/>
        <w:spacing w:after="80" w:line="271" w:before="0" w:lineRule="auto"/>
      </w:pP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Назначение документа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Двусторонний порядок фиксации недостатков, подписываемый как приложение к договору или отдельное соглашение. Пока такого порядка нет, фиксация идёт «как получится», и получается односторонний акт заказчика/генподрядчика. Регламент делает недействительным сам жанр «акта задним числом без вызова».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Когда применяется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 заключении договора субподряда — как приложение к нему, либо по уже действующему договору — как отдельное соглашение сторон.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До спора, а не во время него: регламент — это правила фиксации, подписанные обеими сторонами заранее.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>Связанные документы и порядок применения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действует, пока не подписан обеими сторонами: это соглашение, а не одностороннее уведомление.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До подписания сопоставьте регламент с действующим договорным порядком фиксации недостатков, включая извещение сторон, последствия неявки и оформление актов.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Не решает спор о причинах недостатка — он задаёт порядок, в котором этот спор фиксируется и передаётся экспертизе.</w:t>
      </w:r>
    </w:p>
    <w:p>
      <w:pPr>
        <w:pStyle w:val="Heading2"/>
        <w:keepNext/>
        <w:widowControl/>
        <w:spacing w:after="80" w:before="180" w:line="264" w:lineRule="auto"/>
      </w:pPr>
      <w:r>
        <w:rPr>
          <w:rFonts w:ascii="Arial" w:cs="Arial" w:eastAsia="Arial" w:hAnsi="Arial"/>
          <w:b/>
          <w:bCs/>
          <w:i w:val="0"/>
          <w:color w:val="30353B"/>
          <w:sz w:val="22"/>
          <w:szCs w:val="26"/>
        </w:rPr>
        <w:t xml:space="preserve">Примечания по заполнению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Сроки в пунктах 1, 4, 6 — договорные, назначаются сторонами; регламент их не диктует.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Пункт 5 определяет порядок извещения сторон и составления актов. Условия его применения согласуйте с основным договором и документами о полномочиях представителей.</w:t>
      </w:r>
    </w:p>
    <w:p>
      <w:pPr>
        <w:pStyle w:val="ListParagraph"/>
        <w:widowControl/>
        <w:numPr>
          <w:ilvl w:val="0"/>
          <w:numId w:val="2"/>
        </w:numPr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>Пункт 7 синхронизирован с ответом на гарантийную претензию (форма ответа входит в комплект).</w:t>
      </w:r>
    </w:p>
    <w:p>
      <w:pPr>
        <w:widowControl/>
        <w:spacing w:before="0" w:after="80" w:line="271" w:lineRule="auto"/>
      </w:pPr>
      <w:r>
        <w:rPr>
          <w:rFonts w:ascii="Arial" w:hAnsi="Arial" w:eastAsia="Arial" w:cs="Arial"/>
          <w:i w:val="0"/>
          <w:color w:val="31363C"/>
          <w:sz w:val="21"/>
        </w:rPr>
        <w:br w:type="page"/>
      </w:r>
    </w:p>
    <w:p>
      <w:pPr>
        <w:pStyle w:val="Heading1"/>
        <w:keepNext/>
        <w:widowControl/>
        <w:spacing w:after="120" w:before="240" w:line="264" w:lineRule="auto"/>
        <w:pBdr>
          <w:bottom w:val="single" w:color="E0D0AF" w:sz="7" w:space="4"/>
        </w:pBdr>
      </w:pPr>
      <w:r>
        <w:rPr>
          <w:rFonts w:ascii="Arial" w:cs="Arial" w:eastAsia="Arial" w:hAnsi="Arial"/>
          <w:b/>
          <w:bCs/>
          <w:i w:val="0"/>
          <w:color w:val="30353B"/>
          <w:sz w:val="24"/>
          <w:szCs w:val="32"/>
        </w:rPr>
        <w:t xml:space="preserve">Текст регламента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iCs/>
          <w:color w:val="31363C"/>
          <w:sz w:val="21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0" w:line="271" w:lineRule="auto"/>
      </w:pP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b/>
          <w:bCs/>
          <w:i w:val="0"/>
          <w:color w:val="31363C"/>
          <w:sz w:val="21"/>
          <w:szCs w:val="24"/>
        </w:rPr>
        <w:t xml:space="preserve">РЕГЛАМЕНТ ФИКСАЦИИ НЕДОСТАТКОВ РАБОТ</w:t>
      </w:r>
    </w:p>
    <w:p>
      <w:pPr>
        <w:widowControl/>
        <w:spacing w:after="80" w:line="271" w:before="0" w:lineRule="auto"/>
        <w:jc w:val="center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приложение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к договору субподряда №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{{НОМЕР_ДОГОВОРА}}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1. Вызов. Сторона, обнаружившая недостаток, направляет другой стороне вызов на осмотр способом, дающим подтверждение получения (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{{ДОГОВОРНЫЙ_КАНАЛ}}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), не позднее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{{СРОК_ВЫЗОВА}}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 до осмотра. В вызове: место, время, предмет осмотра.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2. Осмотр. Проводится комиссией: по одному уполномоченному представителю каждой стороны; каждая сторона вправе привлечь независимого специалиста за свой счёт. Неявка надлежаще извещённой стороны отмечается в акте.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3. Акт осмотра. Составляется на месте, в двух экземплярах. Обязательные поля: точное место (оси/отметки), описание и объём каждого недостатка, предполагаемая причина по мнению каждой стороны (расхождение мнений — норма и фиксируется), способ обнаружения, средства измерений, фотофиксация (число снимков, носитель).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4. Особое мнение. Несогласная сторона записывает особое мнение в акте либо прилагает его в срок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{{СРОК_ОСОБОГО_МНЕНИЯ}}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 отсутствие подписи без особого мнения не делает акт односторонним, если сторона участвовала в осмотре.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5. Акты вне порядка. Акт о недостатках, составленный без вызова по п. 1, не применяется сторонами как основание требований и удержаний.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6. Спор о причинах. При расхождении о причинах недостатка любая сторона вправе инициировать строительно-техническую экспертизу; кандидатуры организаций стороны предлагают в течение </w:t>
      </w:r>
      <w:r>
        <w:rPr>
          <w:rFonts w:ascii="Arial" w:cs="Arial" w:eastAsia="Arial" w:hAnsi="Arial"/>
          <w:b/>
          <w:bCs/>
          <w:i w:val="0"/>
          <w:iCs w:val="false"/>
          <w:color w:val="916A2A"/>
          <w:sz w:val="21"/>
          <w:szCs w:val="24"/>
        </w:rPr>
        <w:t xml:space="preserve">{{СРОК}}</w:t>
      </w: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; расходы — по соглашению либо по результату спора.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7. Вскрытие и устранение. До завершения осмотра (а при споре о причинах — до экспертизы) зона недостатка не вскрывается и не ремонтируется, кроме случаев угрозы безопасности — тогда с фотофиксацией до и после.</w:t>
      </w:r>
    </w:p>
    <w:p>
      <w:pPr>
        <w:widowControl/>
        <w:spacing w:after="80" w:line="271" w:before="0" w:lineRule="auto"/>
      </w:pPr>
      <w:r>
        <w:rPr>
          <w:rFonts w:ascii="Arial" w:cs="Arial" w:eastAsia="Arial" w:hAnsi="Arial"/>
          <w:i w:val="0"/>
          <w:color w:val="31363C"/>
          <w:sz w:val="21"/>
          <w:szCs w:val="24"/>
        </w:rPr>
        <w:t xml:space="preserve">Подписи сторон.</w:t>
      </w:r>
    </w:p>
    <w:sectPr>
      <w:headerReference w:type="default" r:id="rId8"/>
      <w:footerReference w:type="default" r:id="rId9"/>
      <w:pgSz w:w="11906" w:h="16838" w:orient="portrait"/>
      <w:pgMar w:top="1009" w:right="1049" w:bottom="964" w:left="1304" w:header="425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rFonts w:ascii="Arial" w:hAnsi="Arial"/>
      <w:b/>
      <w:color w:val="30353B"/>
      <w:sz w:val="30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b/>
      <w:color w:val="30353B"/>
      <w:sz w:val="24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b/>
      <w:color w:val="30353B"/>
      <w:sz w:val="22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1363C"/>
      <w:sz w:val="21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1363C"/>
      <w:sz w:val="21"/>
    </w:rPr>
  </w:style>
  <w:style w:type="paragraph" w:styleId="Heading5">
    <w:name w:val="Heading 5"/>
    <w:basedOn w:val="Normal"/>
    <w:next w:val="Normal"/>
    <w:qFormat/>
    <w:rPr>
      <w:rFonts w:ascii="Arial" w:hAnsi="Arial"/>
      <w:color w:val="31363C"/>
      <w:sz w:val="21"/>
    </w:rPr>
  </w:style>
  <w:style w:type="paragraph" w:styleId="Heading6">
    <w:name w:val="Heading 6"/>
    <w:basedOn w:val="Normal"/>
    <w:next w:val="Normal"/>
    <w:qFormat/>
    <w:rPr>
      <w:rFonts w:ascii="Arial" w:hAnsi="Arial"/>
      <w:color w:val="31363C"/>
      <w:sz w:val="21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  <w:color w:val="31363C"/>
      <w:sz w:val="21"/>
    </w:rPr>
  </w:style>
  <w:style w:type="paragraph" w:styleId="ListParagraph">
    <w:name w:val="List Paragraph"/>
    <w:basedOn w:val="Normal"/>
    <w:qFormat/>
    <w:rPr>
      <w:rFonts w:ascii="Arial" w:hAnsi="Arial"/>
      <w:color w:val="31363C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color w:val="31363C"/>
      <w:sz w:val="21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2026-08-02T14:18:39.640Z</dcterms:created>
  <dcterms:modified xsi:type="dcterms:W3CDTF">2026-08-02T14:18:39.640Z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