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Памятка: кто кому отвечает в цепочке заказчик — генподрядчик — субподрядчик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Разбор перед ответом: есть ли у вас обязательство перед тем, кто предъявил требование, и какая форма ответа из этого следует.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Материалы для представителя: передайте договор, переписку, акты, заключения, расчёты и опись доказательств. Представитель определяет процессуальный порядок и оформляет необходимые обращения и ходатайства.</w:t>
            </w: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Назначение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Определить до написания любого ответа, существует ли у вас обязательство перед тем, кто предъявил требование, и какая форма ответа из этого следует. Разбирается письмо, пришедшее не от вашей стороны по договору: от заказчика, от технадзора заказчика, от собственника объекта, от последующего приобретателя помещений.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Правило первого дня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Зафиксируйте дату и способ получения требования, сохраните доказательства доставки. При отсутствии договорных обязательств перед предъявителем направьте ответ о правовом основании обращения, не признавая ответственность без проверки документов. Используйте форму «Ответ на прямое требование заказчика».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Часть 1. Схема по умолчанию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Работы выполнены по договору субподряда, стороны которого — вы и генподрядчик. Заказчик в этом договоре не участвует, между вами и им договора нет.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Из этого следует распределение, установленное п. 3 ст. 706 ГК РФ: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перед заказчиком за последствия ненадлежащего исполнения субподрядчиком отвечает генеральный подрядчик — по правилам п. 1 ст. 313 и ст. 403 ГК РФ;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перед субподрядчиком за неисполнение заказчиком обязательств по договору подряда отвечает тот же генеральный подрядчик;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— если иное не установлено законом или договором.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Последняя оговорка и есть предмет этой памятки. Прямое требование либо опирается на одно из исключений, либо не опирается ни на одно; третьего состояния нет, и различить их можно только по документам.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Часть 2. Основания прямого требования, которые существуют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000"/>
        <w:gridCol w:w="1900"/>
        <w:gridCol w:w="2500"/>
        <w:gridCol w:w="2960"/>
      </w:tblGrid>
      <w:tr>
        <w:trPr>
          <w:tblHeader/>
          <w:tblHeader w:val="true"/>
        </w:trPr>
        <w:tc>
          <w:tcPr>
            <w:tcW w:type="dxa" w:w="20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Основание</w:t>
            </w:r>
          </w:p>
        </w:tc>
        <w:tc>
          <w:tcPr>
            <w:tcW w:type="dxa" w:w="1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Где искать</w:t>
            </w:r>
          </w:p>
        </w:tc>
        <w:tc>
          <w:tcPr>
            <w:tcW w:type="dxa" w:w="25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Чем подтверждается</w:t>
            </w:r>
          </w:p>
        </w:tc>
        <w:tc>
          <w:tcPr>
            <w:tcW w:type="dxa" w:w="29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следует для ответа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Прямой договор с предъявителем. Отдельный договор, допсоглашение, гарантийное письмо или гарантийный паспорт, выданный вами непосредственно заказчику</w:t>
            </w:r>
          </w:p>
        </w:tc>
        <w:tc>
          <w:tcPr>
            <w:tcW w:type="dxa" w:w="1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реестр договоров и переписка с заказчиком за весь срок работ</w:t>
            </w:r>
          </w:p>
        </w:tc>
        <w:tc>
          <w:tcPr>
            <w:tcW w:type="dxa" w:w="25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Подписанный сторонами документ, порождающий ваше обязательство перед предъявителем (ст. 307, 420 ГК РФ)</w:t>
            </w:r>
          </w:p>
        </w:tc>
        <w:tc>
          <w:tcPr>
            <w:tcW w:type="dxa" w:w="29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Обязательство есть. Спор возвращается в основной контур комплекта: ответ по «Мотивированному ответу на претензию», по гарантийному требованию — по «Ответу на гарантийную претензию»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Оговорка договора подряда или субподряда. Условие, прямо разрешающее заказчику предъявлять требования субподрядчику, либо конструкция договора в пользу третьего лица</w:t>
            </w:r>
          </w:p>
        </w:tc>
        <w:tc>
          <w:tcPr>
            <w:tcW w:type="dxa" w:w="1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Ваш договор субподряда целиком, включая приложения и протоколы разногласий; договор генподряда, если он вам передавался</w:t>
            </w:r>
          </w:p>
        </w:tc>
        <w:tc>
          <w:tcPr>
            <w:tcW w:type="dxa" w:w="25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Пункт с точным номером; для договора в пользу третьего лица — ст. 430 ГК РФ</w:t>
            </w:r>
          </w:p>
        </w:tc>
        <w:tc>
          <w:tcPr>
            <w:tcW w:type="dxa" w:w="29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Обязательство есть в пределах оговорки. Проверить, что заявленное требование в эти пределы попадает: оговорка о качестве не даёт права требовать неустойку по договору генподряда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Трёхстороннее соглашение или замена стороны. Соглашение о переводе прав и обязанностей, о замене стороны в договоре (ст. 392.3 ГК РФ), о прямых расчётах</w:t>
            </w:r>
          </w:p>
        </w:tc>
        <w:tc>
          <w:tcPr>
            <w:tcW w:type="dxa" w:w="1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Допсоглашения к договору субподряда; документы, подписывавшиеся при смене генподрядчика на объекте</w:t>
            </w:r>
          </w:p>
        </w:tc>
        <w:tc>
          <w:tcPr>
            <w:tcW w:type="dxa" w:w="25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Соглашение, подписанное всеми тремя сторонами</w:t>
            </w:r>
          </w:p>
        </w:tc>
        <w:tc>
          <w:tcPr>
            <w:tcW w:type="dxa" w:w="29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Обязательство есть перед новой стороной в объёме, названном в соглашении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Уступка требования. Генподрядчик уступил заказчику требование к вам</w:t>
            </w:r>
          </w:p>
        </w:tc>
        <w:tc>
          <w:tcPr>
            <w:tcW w:type="dxa" w:w="1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Приложение к полученному письму; уведомление об уступке, если оно поступало</w:t>
            </w:r>
          </w:p>
        </w:tc>
        <w:tc>
          <w:tcPr>
            <w:tcW w:type="dxa" w:w="25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Договор уступки или уведомление первоначального кредитора (ст. 382 ГК РФ). До представления доказательств перехода права должник вправе не исполнять новому кредитору (ст. 385 ГК РФ); возражения против первоначального кредитора сохраняются (ст. 386 ГК РФ)</w:t>
            </w:r>
          </w:p>
        </w:tc>
        <w:tc>
          <w:tcPr>
            <w:tcW w:type="dxa" w:w="29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Затребовать доказательства перехода права письмом «Ответ на прямое требование заказчика», пункт 3. Возражения по существу те же, что были бы к генподрядчику</w:t>
            </w:r>
          </w:p>
        </w:tc>
      </w:tr>
      <w:tr>
        <w:tc>
          <w:tcPr>
            <w:tcW w:type="dxa" w:w="20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Требование как к причинителю вреда. Внедоговорное: залив, повреждение чужого имущества, вред третьим лицам</w:t>
            </w:r>
          </w:p>
        </w:tc>
        <w:tc>
          <w:tcPr>
            <w:tcW w:type="dxa" w:w="1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Само письмо: описаны ли обстоятельства причинения вреда, а не отступления от договора</w:t>
            </w:r>
          </w:p>
        </w:tc>
        <w:tc>
          <w:tcPr>
            <w:tcW w:type="dxa" w:w="25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ст. 1064, 15 ГК РФ; требование не связано с нарушением договора, заключённого с генеральным подрядчиком</w:t>
            </w:r>
          </w:p>
        </w:tc>
        <w:tc>
          <w:tcPr>
            <w:tcW w:type="dxa" w:w="29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Здесь договорная цепочка не защищает: установлено, что имущество повредили вы, — отвечать придётся, есть договор с предъявителем или нет. Спорить в этом основании нужно о факте и причинной связи, а не об адресате. Позиция строится на разграничении зон и допусков —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Проверка основания прямого требования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Того, что работы физически выполняли вы. Исполнитель работ и должник по требованию — разные роли, и вторая берётся из договора.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Того, что объект принадлежит предъявителю. Собственность на объект обязательства перед собственником не создаёт.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Ссылки на переписку, совещания, протоколы штабов и указания технадзора. Указание, полученное на площадке, договором не становится.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Прямой оплаты, поступавшей вам от заказчика, — даже когда она шла систематически. Типовой механизм такой: у генподрядчика перед вами сложилась задолженность, он письмом просит заказчика заплатить вам напрямую, заказчик платит. Это исполнение обязательства третьим лицом (ст. 313 ГК РФ): плательщик стороной вашего договора не становится, сколько бы раз платёж ни повторился. Проверьте, что в назначении платежа названы ваш договор с генподрядчиком и письмо-поручение, — тогда картина читается однозначно.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Того, что генподрядчик перестал отвечать на письма, ликвидируется или находится в процедуре банкротства. Это меняет вашу тактику, но не адресата вашего обязательства; ход в такой ситуации — вопрос представителю.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Часть 3. Три вопроса, которые определяют форму ответа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Вопрос 1. Есть ли между вами и адресантом договор?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Проверяется по реестру договоров, а не по памяти. Ответ «да» закрывает развилку: обязательство есть, дальше — основной контур комплекта.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Вопрос 2. Названо ли в письме основание, и какое именно?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Выписать дословно ту фразу, которой адресант обосновывает право требовать с вас, и сопоставить со строками таблицы части 2. Отдельно фиксируется случай «не названо ничего» — это самостоятельный ответ, а не пустое поле.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Вопрос 3. О чём требование по своей природе?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Отступления от договора, объёмов, качества и сроков — договорное требование, и оно упирается в вопросы 1 и 2. Повреждение имущества, залив, вред третьим лицам — требование о возмещении вреда, и оно проверяется отдельно, по обстоятельствам причинения.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Развилка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00"/>
        <w:gridCol w:w="2600"/>
        <w:gridCol w:w="3860"/>
      </w:tblGrid>
      <w:tr>
        <w:trPr>
          <w:tblHeader/>
          <w:tblHeader w:val="true"/>
        </w:trPr>
        <w:tc>
          <w:tcPr>
            <w:tcW w:type="dxa" w:w="2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Ответы</w:t>
            </w:r>
          </w:p>
        </w:tc>
        <w:tc>
          <w:tcPr>
            <w:tcW w:type="dxa" w:w="26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Вывод</w:t>
            </w:r>
          </w:p>
        </w:tc>
        <w:tc>
          <w:tcPr>
            <w:tcW w:type="dxa" w:w="38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Форма ответа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В1 — да</w:t>
            </w:r>
          </w:p>
        </w:tc>
        <w:tc>
          <w:tcPr>
            <w:tcW w:type="dxa" w:w="2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Обязательство перед адресантом есть</w:t>
            </w:r>
          </w:p>
        </w:tc>
        <w:tc>
          <w:tcPr>
            <w:tcW w:type="dxa" w:w="38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Ответ по существу: «Мотивированный ответ на претензию», по гарантии — «Ответ на гарантийную претензию». Памятка на этом заканчивается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В1 — нет, В2 — основание названо и подтверждается документом</w:t>
            </w:r>
          </w:p>
        </w:tc>
        <w:tc>
          <w:tcPr>
            <w:tcW w:type="dxa" w:w="2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Обязательство есть в пределах основания</w:t>
            </w:r>
          </w:p>
        </w:tc>
        <w:tc>
          <w:tcPr>
            <w:tcW w:type="dxa" w:w="38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Ответ по существу в пределах основания, со ссылкой на документ;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В1 — нет, В2 — основание названо, но документ его не подтверждает</w:t>
            </w:r>
          </w:p>
        </w:tc>
        <w:tc>
          <w:tcPr>
            <w:tcW w:type="dxa" w:w="2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Основание спорно</w:t>
            </w:r>
          </w:p>
        </w:tc>
        <w:tc>
          <w:tcPr>
            <w:tcW w:type="dxa" w:w="38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Письмо «Ответ на прямое требование заказчика» с запросом документа, без позиции по существу;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В1 — нет, В2 — основание не названо</w:t>
            </w:r>
          </w:p>
        </w:tc>
        <w:tc>
          <w:tcPr>
            <w:tcW w:type="dxa" w:w="2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Основание не заявлено</w:t>
            </w:r>
          </w:p>
        </w:tc>
        <w:tc>
          <w:tcPr>
            <w:tcW w:type="dxa" w:w="38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Письмо «Ответ на прямое требование заказчика» целиком; генподрядчик уведомляется копией</w:t>
            </w:r>
          </w:p>
        </w:tc>
      </w:tr>
      <w:tr>
        <w:tc>
          <w:tcPr>
            <w:tcW w:type="dxa" w:w="2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В3 — требование о возмещении вреда</w:t>
            </w:r>
          </w:p>
        </w:tc>
        <w:tc>
          <w:tcPr>
            <w:tcW w:type="dxa" w:w="2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Договорная цепочка вопрос не закрывает</w:t>
            </w:r>
          </w:p>
        </w:tc>
        <w:tc>
          <w:tcPr>
            <w:tcW w:type="dxa" w:w="38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Письмо «Ответ на прямое требование заказчика», пункт об осмотре — обязательно; далее сценарий С5 «Алгоритма: навязывают оплату или исправление чужой вины», документы «Соглашение о разграничении ответственности на площадке» и «Акт передачи фронта работ»</w:t>
            </w:r>
          </w:p>
        </w:tc>
      </w:tr>
    </w:tbl>
    <w:p>
      <w:pPr>
        <w:widowControl/>
        <w:spacing w:after="80" w:line="271" w:before="0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Во всех строках, кроме первой, обязательны два действия одного дня: письменный ответ адресанту и уведомление генподрядчика с приложением копии требования. Оба текста — в документе «Ответ на прямое требование заказчика».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Государственный и муниципальный заказ развилку не меняет.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Договор генподряда, заключённый по результатам закупки, на ваш договор субподряда не переносится и обязательства перед заказчиком вам не создаёт: смотрите те же три вопроса и те же основания.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Лист проверки адресата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Заполняется до отправки любого письма и хранится вместе с ответом. Заполните поля в двойных фигурных скобках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ЛИСТ ПРОВЕРКИ АДРЕСАТА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Требование получено от: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{{НАИМЕНОВАНИЕ_ЗАКАЗЧИКА}}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Реквизиты письма: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{{РЕКВИЗИТЫ_ПРЯМОГО_ТРЕБОВАНИЯ}}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Получено: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{{ДАТА_ПОЛУЧЕНИЯ_ПРЕТЕНЗИИ}}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{{СПОСОБ_ПОЛУЧЕНИЯ}}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Объект: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{{ОБЪЕКТ}}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Существо требования: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{{ФОРМУЛИРОВКА_ТРЕБОВАНИЯ_КРАТКО}}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 сумму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{{СУММА_ТРЕБОВАНИЯ}}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Работы выполнялись по договору субподряда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{{НАИМЕНОВАНИЕ_ГЕНПОДРЯДЧИКА}}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Цепочка до предъявителя: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{{ЗВЕНО_ДОГОВОРНОЙ_ЦЕПОЧКИ}}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Вопрос 1. Договор с адресантом: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{{ДОГОВОР_С_АДРЕСАНТОМ: нет / договор № … от …, гарантийное письмо № … от …}}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Вопрос 2. Основание, названное в письме: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{{ОСНОВАНИЕ_ПРЕДЪЯВЛЕНИЯ}}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Что найдено при проверке документов: </w:t>
      </w:r>
      <w:r>
        <w:rPr>
          <w:rFonts w:ascii="Arial" w:cs="Arial" w:eastAsia="Arial" w:hAnsi="Arial"/>
          <w:b/>
          <w:bCs/>
          <w:i w:val="0"/>
          <w:iCs w:val="false"/>
          <w:color w:val="31363C"/>
          <w:sz w:val="21"/>
          <w:szCs w:val="24"/>
        </w:rPr>
        <w:t xml:space="preserve">{{НАЙДЕННОЕ_ОСНОВАНИЕ: пункт договора / соглашение / уступка / не найдено}}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Вопрос 3. Природа требования: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{{ПРИРОДА_ТРЕБОВАНИЯ: договорное / о возмещении вреда}}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Вывод и форма ответа: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{{ВЫВОД_О_ФОРМЕ_ОТВЕТА}}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Ответ адресанту: исх.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{{НОМЕР_ОТВЕТА}}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{{ДАТА_ОТВЕТА}}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Уведомление генподрядчика: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{{РЕКВИЗИТЫ_УВЕДОМЛЕНИЯ_ГЕНПОДРЯДЧИКА}}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Проверку провёл: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Поле «Основание, названное в письме» заполняется цитатой, а не пересказом. Пересказ уже содержит вашу оценку, и в письме «Ответ на прямое требование заказчика» она выглядит как спор с тем, чего адресант не писал.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Поле «Что найдено при проверке документов» заполняется после того, как договор просмотрен целиком, включая приложения и протокол разногласий. Оговорка о прямом предъявлении редко лежит в разделе об ответственности — чаще в разделе о гарантии или в приложении о порядке взаимодействия на объекте.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Природа требования определяется по обстоятельствам, а не по названию письма. «Претензия о возмещении ущерба» может быть требованием об устранении дефекта, а «требование об устранении» — о заливе соседнего помещения.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Оценок адресанту и его специалистам в листе не даётся: фиксируются документы и их реквизиты. То же правило действует во всех документах комплекта.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Срок ответа берётся из вашего договора субподряда; если найден прямой договор с адресантом — из него. Договор молчит — отвечать в разумный срок, не откладывая: время здесь работает на «уклонение».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Лист заполняется даже тогда, когда ответ очевиден. Он и есть доказательство того, что переписка с заказчиком велась не как признание обязательства перед ним.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Проверка правильности действий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Отвечать по существу дефекта до того, как заполнен лист. Признание объёма или причины в письме тому, кому вы не обязаны, потом предъявляется как ваше согласие отвечать перед ним.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Игнорировать письмо на том основании, что «мы с ними не в договоре». Основание может обнаружиться в вашем же договоре, а неявка на осмотр легализует односторонний акт независимо от того, кто его составлял.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Уведомлять генподрядчика устно. Уведомление существует, если у вас есть подтверждение отправки и получения.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Переходить на прямую переписку с заказчиком «чтобы быстрее решить». Каждое такое письмо потом читается как договорная связь; вести её можно, но с копией генподрядчику и с оговоркой из «Ответа на прямое требование заказчика».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Подписывать акты осмотра, составленные заказчиком, без своей позиции в тексте акта. Возражения — «Возражение на односторонний акт о недостатках».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Соглашаться устранять дефект «за счёт отношений с заказчиком» до установления причины: это признание и потеря денег одновременно (то же правило в «Алгоритме: навязывают оплату или исправление чужой вины»).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Порядок определения сроков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Срок ответа, период обнаружения недостатков, гарантийный срок и исковую давность определяйте по договору и применимым нормам в редакции на дату ответа.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2026-08-02T14:07:44.287Z</dcterms:created>
  <dcterms:modified xsi:type="dcterms:W3CDTF">2026-08-02T14:07:44.289Z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