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Запрос о состоянии счёта эскроу по передаваемому ДДУ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Документальное подтверждение того, оплачен ли ДДУ, права по которому вам предлагают в счёт работ. Отправляется — текст письма ниже; страница «Как пользоваться этим документом» в отправку не входит.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2F2F2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Важно, прочитайте до использования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>Комплект помогает проверить предложение о расчёте квартирами, запросить подтверждающие документы и сопоставить оплаченное право с обязательствами по ДДУ. Решение о сделке принимается по проверенным фактам и документам конкретного объекта.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>До подписания сопоставьте условия ДДУ, уступки и документы банка с ч. 3 ст. 15.4 и ст. 11 Закона № 214-ФЗ, а при переводе долга — с п. 2 ст. 391 ГК РФ.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Граница проходит по стадии. Пока сделка обсуждается и бумаги не подписаны — комплект работает. Уступка уже подписана и идёт спор — дальше работа юриста по конкретным документам. Застройщик в процедуре банкротства — это комплект «Реестр требований кредиторов» и юрист, а не эти файлы.</w:t>
            </w:r>
          </w:p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>При неполном пополнении эскроу отдельно проверьте, кто обязан внести недостающую сумму, условия одновременного перевода долга и согласие кредитора. Подтверждение расчётов между сторонами не означает поступления средств на счёт эскроу.</w:t>
            </w:r>
          </w:p>
        </w:tc>
      </w:tr>
    </w:tbl>
    <w:p>
      <w:pPr>
        <w:spacing w:after="120" w:line="276"/>
      </w:pPr>
    </w:p>
    <w:p>
      <w:pPr>
        <w:spacing w:after="120" w:line="276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Заполните поля в двойных фигурных скобках по «Словарю полей» и убедитесь поиском, что скобок «{{» в документе не осталось.</w:t>
      </w:r>
    </w:p>
    <w:p>
      <w:pPr>
        <w:pBdr>
          <w:bottom w:val="single" w:color="BFBFBF" w:sz="6" w:space="6"/>
        </w:pBdr>
        <w:spacing w:after="200" w:before="120"/>
      </w:pPr>
    </w:p>
    <w:p>
      <w:pPr>
        <w:spacing w:after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Кому: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{{НАИМЕНОВАНИЕ_ЦЕДЕНТА_ИЛИ_ЗАСТРОЙЩИКА}}</w:t>
      </w:r>
    </w:p>
    <w:p>
      <w:pPr>
        <w:spacing w:after="20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Адрес: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{{АДРЕС_АДРЕСАТА}}</w:t>
      </w:r>
    </w:p>
    <w:p>
      <w:pPr>
        <w:spacing w:after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{{НАИМЕНОВАНИЕ_ПОДРЯДЧИКА}}</w:t>
      </w:r>
    </w:p>
    <w:p>
      <w:pPr>
        <w:spacing w:after="20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Адрес: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{{АДРЕС_ПОДРЯДЧИКА}}</w:t>
      </w:r>
    </w:p>
    <w:p>
      <w:pPr>
        <w:spacing w:after="30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Исх.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{{ИСХОДЯЩИЙ_НОМЕР}}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{{ДАТА_ДОКУМЕНТА}}</w:t>
      </w:r>
    </w:p>
    <w:p>
      <w:pPr>
        <w:spacing w:after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ЗАПРОС о подтверждении оплаты по договору участия</w:t>
      </w:r>
    </w:p>
    <w:p>
      <w:pPr>
        <w:spacing w:after="30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 долевом строительстве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{{НОМЕР_ДДУ}}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{{ДАТА_ДДУ}}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Уважаемые коллеги!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связи с предложением об уступке нам прав по договору участия в долевом строительстве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{{НОМЕР_ДДУ}}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{{ДАТА_ДДУ}}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в отношении объекта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{{ОПИСАНИЕ_ОБЪЕКТА_ДОЛЕВОГО_СТРОИТЕЛЬСТВА}}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просим до подписания договора уступки предоставить:</w:t>
      </w:r>
    </w:p>
    <w:p>
      <w:p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Справку (выписку) банка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{{НАИМЕНОВАНИЕ_БАНКА_ЕСЛИ_ИЗВЕСТЕН}}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об открытии счёта эскроу по указанному договору и о поступлении на него денежных средств в размере цены договора.</w:t>
      </w:r>
    </w:p>
    <w:p>
      <w:p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Сведения о том, в полном ли объёме исполнена обязанность участника долевого строительства по уплате цены договора; если в части — в каком размере.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Проект уступки: условия перехода долга по ДДУ, цена уступки и расчёт с цедентом. Если цедент — юридическое лицо, цена уступки оплачивается после госрегистрации соглашения (ч. 3 ст. 11 Закона № 214-ФЗ). При зачёте работ — основание и момент зачёта.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>Документы просим направить в срок до {{СРОК_ОТВЕТА_НА_ЗАПРОС}} на адрес {{АДРЕС_ДЛЯ_ОТВЕТА}} либо на электронную почту {{ЭЛЕКТРОННАЯ_ПОЧТА}}.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</w:r>
      <w:r>
        <w:rPr>
          <w:rFonts w:ascii="Times New Roman" w:cs="Times New Roman" w:eastAsia="Times New Roman" w:hAnsi="Times New Roman"/>
          <w:sz w:val="24"/>
          <w:szCs w:val="24"/>
        </w:rPr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</w:r>
      <w:r>
        <w:rPr>
          <w:rFonts w:ascii="Times New Roman" w:cs="Times New Roman" w:eastAsia="Times New Roman" w:hAnsi="Times New Roman"/>
          <w:sz w:val="24"/>
          <w:szCs w:val="24"/>
        </w:rPr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</w:r>
      <w:r>
        <w:rPr>
          <w:rFonts w:ascii="Times New Roman" w:cs="Times New Roman" w:eastAsia="Times New Roman" w:hAnsi="Times New Roman"/>
          <w:sz w:val="24"/>
          <w:szCs w:val="24"/>
        </w:rPr>
      </w:r>
    </w:p>
    <w:p>
      <w:pPr>
        <w:spacing w:after="300" w:line="276"/>
      </w:pPr>
      <w:r>
        <w:rPr>
          <w:rFonts w:ascii="Times New Roman" w:cs="Times New Roman" w:eastAsia="Times New Roman" w:hAnsi="Times New Roman"/>
          <w:sz w:val="24"/>
          <w:szCs w:val="24"/>
        </w:rPr>
        <w:t>Подтверждение оплаты цены ДДУ существенно для решения о сделке. Если цена не оплачена полностью, уступка прав по ч. 1 ст. 11 Закона № 214-ФЗ допускается одновременно с переводом долга на нового участника в порядке, установленном ГК РФ; перевод долга требует согласия кредитора (п. 2 ст. 391 ГК РФ). Просим отдельно указать размер неоплаченной цены и документы, подтверждающие условия её погашения.</w:t>
      </w:r>
    </w:p>
    <w:p>
      <w:pPr>
        <w:spacing w:after="0" w:line="276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{{ДОЛЖНОСТЬ_ПОДПИСАНТА}}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{{ФИО_ПОДПИСАНТА}}</w:t>
      </w:r>
    </w:p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Как пользоваться этим документом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i/>
          <w:iCs/>
          <w:color w:val="595959"/>
          <w:sz w:val="20"/>
          <w:szCs w:val="24"/>
        </w:rPr>
        <w:t xml:space="preserve">Примечание покупателю. Эта страница в отправляемое письмо не входит: отправляется только текст до разрыва страницы.</w:t>
      </w:r>
    </w:p>
    <w:p>
      <w:pPr>
        <w:pStyle w:val="Heading2"/>
        <w:keepNext/>
        <w:spacing w:after="60" w:before="260"/>
      </w:pPr>
      <w:r>
        <w:rPr>
          <w:rFonts w:ascii="Times New Roman" w:cs="Times New Roman" w:eastAsia="Times New Roman" w:hAnsi="Times New Roman"/>
          <w:b/>
          <w:bCs/>
          <w:sz w:val="24"/>
          <w:szCs w:val="26"/>
        </w:rPr>
        <w:t xml:space="preserve">Назначение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0"/>
          <w:szCs w:val="24"/>
        </w:rPr>
        <w:t xml:space="preserve">Получить документальное подтверждение того, оплачен ли ДДУ, права по которому вам предлагают в счёт работ: открыт ли счёт эскроу, в каком банке, пополнен ли на цену договора. Подтверждение — справка или выписка банка. Письмо застройщика или цедента подтверждением не является: это заявление стороны, заинтересованной в сделке.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0"/>
          <w:szCs w:val="24"/>
        </w:rPr>
        <w:t>Ответ позволяет установить, какое право предлагают передать. При подтверждённом поступлении полной цены ДДУ на эскроу по ч. 3 ст. 15.4 Закона № 214-ФЗ проверяйте условия уступки оплаченного права. При неполной оплате нельзя считать обязанность доплатить автоматически перешедшей: требуется одновременный перевод долга с соблюдением требований ГК РФ, включая согласие кредитора. Сопоставьте ответ, ДДУ и проект уступки с памяткой «Читаем уступку: пункт об обязательствах по эскроу».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0"/>
          <w:szCs w:val="24"/>
        </w:rPr>
        <w:t xml:space="preserve">Сверьте оплату ДДУ по банковскому подтверждению (ч. 3 ст. 15.4 Закона № 214-ФЗ). При неполной оплате уступка требует одновременного перевода долга с соблюдением ГК РФ и согласия кредитора. Отдельно проверьте цену уступки: при цеденте — юридическом лице её уплата следует за госрегистрацией (ч. 3 ст. 11 Закона № 214-ФЗ). При зачёте работ проверьте встречные требования и момент зачёта: сам зачёт не подтверждает оплату ДДУ на эскроу.</w:t>
      </w:r>
    </w:p>
    <w:p>
      <w:pPr>
        <w:pStyle w:val="Heading2"/>
        <w:keepNext/>
        <w:spacing w:after="60" w:before="260"/>
      </w:pPr>
      <w:r>
        <w:rPr>
          <w:rFonts w:ascii="Times New Roman" w:cs="Times New Roman" w:eastAsia="Times New Roman" w:hAnsi="Times New Roman"/>
          <w:b/>
          <w:bCs/>
          <w:sz w:val="24"/>
          <w:szCs w:val="26"/>
        </w:rPr>
        <w:t xml:space="preserve">Когда применяется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0"/>
          <w:szCs w:val="24"/>
        </w:rPr>
        <w:t xml:space="preserve">До подписания уступки или ДДУ — шаг 2 «Алгоритма: проверка расчёта метрами до входа». После подписания запрос не теряет смысла, но большинство ходов уже сделано: тогда его результат — материал для юриста, не для решения.</w:t>
      </w:r>
    </w:p>
    <w:p>
      <w:pPr>
        <w:pStyle w:val="Heading2"/>
        <w:keepNext/>
        <w:spacing w:after="60" w:before="260"/>
      </w:pPr>
      <w:r>
        <w:rPr>
          <w:rFonts w:ascii="Times New Roman" w:cs="Times New Roman" w:eastAsia="Times New Roman" w:hAnsi="Times New Roman"/>
          <w:b/>
          <w:bCs/>
          <w:sz w:val="24"/>
          <w:szCs w:val="26"/>
        </w:rPr>
        <w:t xml:space="preserve">Кому адресуется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0"/>
          <w:szCs w:val="24"/>
        </w:rPr>
        <w:t xml:space="preserve">Банк по договору счёта эскроу отвечает его сторонам, а не будущему приобретателю права. Поэтому запрос направляется стороне сделки: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Times New Roman" w:cs="Times New Roman" w:eastAsia="Times New Roman" w:hAnsi="Times New Roman"/>
          <w:sz w:val="20"/>
          <w:szCs w:val="24"/>
        </w:rPr>
        <w:t xml:space="preserve">цеденту — текущему участнику долевого строительства, чьи права вам уступают: у него как у владельца счёта есть доступ к сведениям о нём;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Times New Roman" w:cs="Times New Roman" w:eastAsia="Times New Roman" w:hAnsi="Times New Roman"/>
          <w:sz w:val="20"/>
          <w:szCs w:val="24"/>
        </w:rPr>
        <w:t xml:space="preserve">застройщику — как стороне ДДУ и бенефициару счёта, с требованием предоставить справку банка;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Times New Roman" w:cs="Times New Roman" w:eastAsia="Times New Roman" w:hAnsi="Times New Roman"/>
          <w:sz w:val="20"/>
          <w:szCs w:val="24"/>
        </w:rPr>
        <w:t xml:space="preserve">при готовности сторон — совместное обращение в банк с вашим участием либо получение справки цедентом в вашем присутствии.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0"/>
          <w:szCs w:val="24"/>
        </w:rPr>
        <w:t>Отказ предоставить банковское подтверждение оплаты до подписания уступки — основание остановить согласование сделки и запросить документы об оплате и обязательствах по ДДУ.</w:t>
      </w:r>
    </w:p>
    <w:p>
      <w:pPr>
        <w:pStyle w:val="Heading2"/>
        <w:keepNext/>
        <w:spacing w:after="60" w:before="260"/>
      </w:pPr>
      <w:r>
        <w:rPr>
          <w:rFonts w:ascii="Times New Roman" w:cs="Times New Roman" w:eastAsia="Times New Roman" w:hAnsi="Times New Roman"/>
          <w:b/>
          <w:bCs/>
          <w:sz w:val="24"/>
          <w:szCs w:val="26"/>
        </w:rPr>
        <w:t xml:space="preserve">Что подставить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0"/>
          <w:szCs w:val="24"/>
        </w:rPr>
        <w:t xml:space="preserve">По «Словарю полей» комплекта: реквизиты сторон, реквизиты ДДУ, предлагаемого к уступке, срок ответа (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0"/>
          <w:szCs w:val="24"/>
        </w:rPr>
        <w:t xml:space="preserve">{{СРОК_ОТВЕТА_НА_ЗАПРОС}}</w:t>
      </w:r>
      <w:r>
        <w:rPr>
          <w:rFonts w:ascii="Times New Roman" w:cs="Times New Roman" w:eastAsia="Times New Roman" w:hAnsi="Times New Roman"/>
          <w:sz w:val="20"/>
          <w:szCs w:val="24"/>
        </w:rPr>
        <w:t xml:space="preserve"> — разумный рабочий; законом не установлен).</w:t>
      </w:r>
    </w:p>
    <w:p>
      <w:pPr>
        <w:pStyle w:val="Heading2"/>
        <w:keepNext/>
        <w:spacing w:after="60" w:before="260"/>
      </w:pPr>
      <w:r>
        <w:rPr>
          <w:rFonts w:ascii="Times New Roman" w:cs="Times New Roman" w:eastAsia="Times New Roman" w:hAnsi="Times New Roman"/>
          <w:b/>
          <w:bCs/>
          <w:sz w:val="24"/>
          <w:szCs w:val="26"/>
        </w:rPr>
        <w:t>Порядок проверки документов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Times New Roman" w:cs="Times New Roman" w:eastAsia="Times New Roman" w:hAnsi="Times New Roman"/>
          <w:sz w:val="20"/>
          <w:szCs w:val="24"/>
        </w:rPr>
        <w:t>Сведения о счёте запрашивайте у сторон сделки; право будущего приобретателя получить их непосредственно в банке проверяется отдельно по полномочиям и документам.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Times New Roman" w:cs="Times New Roman" w:eastAsia="Times New Roman" w:hAnsi="Times New Roman"/>
          <w:sz w:val="20"/>
          <w:szCs w:val="24"/>
        </w:rPr>
        <w:t>Сопоставьте банковское подтверждение с самим ДДУ и проектом уступки: цену, сроки оплаты, условия перехода прав и обязанности по оплате (см. памятку «Читаем уступку: пункт об обязательствах по эскроу»).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Times New Roman" w:cs="Times New Roman" w:eastAsia="Times New Roman" w:hAnsi="Times New Roman"/>
          <w:sz w:val="20"/>
          <w:szCs w:val="24"/>
        </w:rPr>
        <w:t>Проверьте отдельно цену уступки и взаиморасчёты с цедентом: они не тождественны оплате цены ДДУ на счёт эскроу.</w:t>
      </w:r>
    </w:p>
    <w:sectPr>
      <w:pgSz w:w="11906" w:h="16838" w:orient="portrait"/>
      <w:pgMar w:top="850" w:right="850" w:bottom="850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—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2026-08-09T07:33:35.170Z</dcterms:created>
  <dcterms:modified xsi:type="dcterms:W3CDTF">2026-08-09T07:33:35.170Z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