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Уведомление о дополнительных работах</w:t>
      </w:r>
    </w:p>
    <w:p>
      <w:r>
        <w:rPr>
          <w:i/>
          <w:color w:val="E85D22"/>
        </w:rPr>
        <w:t>Заполните поля в квадратных скобках и удалите подсказки перед отправкой.</w:t>
      </w:r>
    </w:p>
    <w:p>
      <w:pPr>
        <w:pStyle w:val="Heading1"/>
      </w:pPr>
      <w:r>
        <w:t>Уведомление</w:t>
      </w:r>
    </w:p>
    <w:p>
      <w:pPr>
        <w:pStyle w:val="ListBullet"/>
      </w:pPr>
      <w:r>
        <w:t>Дополнительная работа выявлена [дата] при [обстоятельства].</w:t>
      </w:r>
    </w:p>
    <w:p>
      <w:pPr>
        <w:pStyle w:val="ListBullet"/>
      </w:pPr>
      <w:r>
        <w:t>До [дата] просим согласовать объём, цену и влияние на срок.</w:t>
      </w:r>
    </w:p>
    <w:p>
      <w:pPr>
        <w:pStyle w:val="Heading1"/>
      </w:pPr>
      <w:r>
        <w:t>Режим до решения</w:t>
      </w:r>
    </w:p>
    <w:p>
      <w:pPr>
        <w:pStyle w:val="ListBullet"/>
      </w:pPr>
      <w:r>
        <w:t>Работа не начинается / выполняются только необходимые меры по предотвращению ущерба по отдельной фиксации.</w:t>
      </w:r>
    </w:p>
    <w:p>
      <w:pPr>
        <w:pStyle w:val="Heading1"/>
      </w:pPr>
      <w:r>
        <w:t>Контроль перед использованием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7560"/>
      </w:tblGrid>
      <w:tr>
        <w:tc>
          <w:tcPr>
            <w:tcW w:type="dxa" w:w="4680"/>
            <w:shd w:fill="E9E5DC"/>
            <w:vAlign w:val="center"/>
          </w:tcPr>
          <w:p>
            <w:r>
              <w:t>Статус</w:t>
            </w:r>
          </w:p>
        </w:tc>
        <w:tc>
          <w:tcPr>
            <w:tcW w:type="dxa" w:w="4680"/>
            <w:shd w:fill="E9E5DC"/>
            <w:vAlign w:val="center"/>
          </w:tcPr>
          <w:p>
            <w:r>
              <w:t>Проверка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Сверено с договором и приложениями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Проверены полномочия подписанта и адресат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Приложения названы и приложены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Зафиксирован доказуемый канал отправки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Юридически значимые формулировки проверены специалистом под объект</w:t>
            </w:r>
          </w:p>
        </w:tc>
      </w:tr>
    </w:tbl>
    <w:p>
      <w:r>
        <w:t>Важно: шаблон не заменяет анализ договора, проектной документации и обстоятельств конкретного объекта.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87878"/>
        <w:sz w:val="16"/>
      </w:rPr>
      <w:t>Уведомление о дополнительных работах  •  версия 21.07.2026  •  marzhavbetone.ru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646464"/>
        <w:sz w:val="16"/>
      </w:rPr>
      <w:t>МАРЖА В БЕТОНЕ  /  РАБОЧИЙ ШАБЛОН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/>
      <w:color w:val="24262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