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«Договор подряда»</w:t>
      </w:r>
    </w:p>
    <w:p>
      <w:r>
        <w:t>Связать объём, изменения, приёмку, оплату и удержания в управляемую конструкцию.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9E5DC"/>
          </w:tcPr>
          <w:p>
            <w:r>
              <w:t>Файл</w:t>
            </w:r>
          </w:p>
        </w:tc>
        <w:tc>
          <w:tcPr>
            <w:tcW w:type="dxa" w:w="3120"/>
            <w:shd w:fill="E9E5DC"/>
          </w:tcPr>
          <w:p>
            <w: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r>
              <w:t>Результат</w:t>
            </w:r>
          </w:p>
        </w:tc>
      </w:tr>
      <w:tr>
        <w:tc>
          <w:tcPr>
            <w:tcW w:type="dxa" w:w="3120"/>
          </w:tcPr>
          <w:p>
            <w:r>
              <w:t>01-dogovor-subpodryada.docx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04-poryadok-priemki.docx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06-dopsoglashenie-obem.docx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07-dopsoglashenie-sroki.docx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10-protokol-raznoglasiy.docx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02-perechen-rabot.xlsx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03-kalendarnyy-plan.xlsx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05-grafik-platezhey.xlsx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08-krasnye-flagi.pdf</w:t>
            </w:r>
          </w:p>
        </w:tc>
        <w:tc>
          <w:tcPr>
            <w:tcW w:type="dxa" w:w="3120"/>
          </w:tcPr>
          <w:p>
            <w:r>
              <w:t>Для быстрой проверки последовательности действий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09-checklist-dogovora.pdf</w:t>
            </w:r>
          </w:p>
        </w:tc>
        <w:tc>
          <w:tcPr>
            <w:tcW w:type="dxa" w:w="3120"/>
          </w:tcPr>
          <w:p>
            <w:r>
              <w:t>Для быстрой проверки последовательности действий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Не отправляйте документ с квадратными скобками и подсказками.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Спорные юридические формулировки согласуйте с профильным специалистом.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видны: основание, факт выполнения, комплект доказательств, дата передачи, статус замечаний, сумма и контрольная дата оплаты.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Договор подряда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