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2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2"/>
        </w:rPr>
        <w:t xml:space="preserve">Как заполнять: словарь полей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i/>
          <w:iCs/>
          <w:color w:val="262F37"/>
          <w:sz w:val="21"/>
          <w:szCs w:val="24"/>
        </w:rPr>
        <w:t xml:space="preserve">Словарь подстановок для файлов 11–16 комплекта. Реквизиты форм 01–05 заполняйте по их подписям полей.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 Одно имя поля сохраняет один смысл во всех документах. Общие реквизиты сторон и договора можно переносить; дату документа, текущий долг, проценты или неустойку, число дней просрочки, цену иска и пошлину проверяйте и обновляйте на дату каждого нового документа.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Главное правило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отправленной претензии мешает адресату понять требование. Заполните все поля по исходным документам и проверьте итоговый текст.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7"/>
                <w:szCs w:val="22"/>
              </w:rPr>
              <w:t xml:space="preserve">Поле</w:t>
            </w:r>
          </w:p>
        </w:tc>
        <w:tc>
          <w:tcPr>
            <w:tcW w:type="dxa" w:w="340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7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7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{{ОГРН_ПОДРЯДЧИКА}}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{{КОНТАКТЫ_ПОДРЯДЧИКА}}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{{ОГРН_ЗАКАЗЧИКА}}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выписка ЕГРЮЛ; для иска к организации ИНН и ОГРН обязательны (п. 3 ч. 2 ст. 125 АПК РФ). Если должник — индивидуальный предприниматель, тот же пункт требует иного состава сведений: сверьтесь с ним по действующей редакции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>свежая выписка ЕГРЮЛ, а не шапка договора: адрес мог смениться. Для приложения к иску выписка не должна быть старше срока, установленного п. 9 ч. 1 ст. 126 АПК РФ: она должна быть получена не ранее чем за установленный там период до дня обращения в суд — применимый период сверьте по действующей редакции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устав, доверенность</w:t>
            </w:r>
          </w:p>
        </w:tc>
      </w:tr>
    </w:tbl>
    <w:p>
      <w:pPr>
        <w:spacing w:after="60"/>
      </w:pPr>
      <w:r>
        <w:rPr>
          <w:rFonts w:ascii="Times New Roman" w:hAnsi="Times New Roman"/>
          <w:color w:val="262F37"/>
          <w:sz w:val="21"/>
        </w:rPr>
        <w:br w:type="page"/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Договор и объект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7"/>
                <w:szCs w:val="22"/>
              </w:rPr>
              <w:t xml:space="preserve">Поле</w:t>
            </w:r>
          </w:p>
        </w:tc>
        <w:tc>
          <w:tcPr>
            <w:tcW w:type="dxa" w:w="340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7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7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текст договора; если срок не установлен — см. раздел «Если договор не устанавливает срок оплаты» в претензии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{{ПУНКТ_ДОГОВОРА_О_ПРЕТЕНЗИОННОМ_ПОРЯДКЕ}}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Пункт о досудебном порядке и сроке ответа на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{{ПУНКТ_ДОГОВОРА_О_ПОДСУДНОСТИ}}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Пункт о договорной подсудности,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текст договора</w:t>
            </w:r>
          </w:p>
        </w:tc>
      </w:tr>
    </w:tbl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Акты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7"/>
                <w:szCs w:val="22"/>
              </w:rPr>
              <w:t xml:space="preserve">Поле</w:t>
            </w:r>
          </w:p>
        </w:tc>
        <w:tc>
          <w:tcPr>
            <w:tcW w:type="dxa" w:w="340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7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7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{{НОМЕР_КС2}}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{{ДАТА_КС2}}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Реквизиты акта о приёмке выполненных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подписанный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{{НОМЕР_КС3}}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{{ДАТА_КС3}}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Реквизиты справки о стоимости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подписанная справка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{{СУММА_ПО_АКТУ}}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Стоимость работ по акту: цифрами и прописью, с указанием НДС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КС-2 и КС-3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{{СУММА_ДОЛГА}}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акты сверки, банковские выписки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{{ДАТА_НАЧАЛА_ПРОСРОЧКИ}}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Первый день просрочки: день, следующий за последним днём срока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по договору, а не по формуле: (1) найдите, от какого события договор считает срок оплаты — подписание акта заказчиком, подписание КС-3, получение счёта, передача исполнительной документации; дата, проставленная в КС-2, и дата её подписания заказчиком — разные даты; (2) отсчитайте срок от этого события, не считая самого дня события: течение срока начинается на следующий день после наступления события (ст. 191 ГК РФ); (3) если последний день срока нерабочий, окончанием считается ближайший следующий рабочий день (ст. 193 ГК РФ); (4) первый день просрочки — следующий за днём окончания срока. Ошибка здесь меняет сумму процентов, цену иска и пошлину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{{ЧИСЛО_ДНЕЙ_ПРОСРОЧКИ}}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Дней просрочки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файл расчёта процентов</w:t>
            </w:r>
          </w:p>
        </w:tc>
      </w:tr>
    </w:tbl>
    <w:p>
      <w:pPr>
        <w:spacing w:after="60"/>
      </w:pPr>
      <w:r>
        <w:rPr>
          <w:rFonts w:ascii="Times New Roman" w:hAnsi="Times New Roman"/>
          <w:color w:val="262F37"/>
          <w:sz w:val="21"/>
        </w:rPr>
        <w:br w:type="page"/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Проценты и суд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7"/>
                <w:szCs w:val="22"/>
              </w:rPr>
              <w:t xml:space="preserve">Поле</w:t>
            </w:r>
          </w:p>
        </w:tc>
        <w:tc>
          <w:tcPr>
            <w:tcW w:type="dxa" w:w="340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7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7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{{КЛЮЧЕВАЯ_СТАВКА_ЦБ}}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Ключевая ставка Банка России, действовавшая в соответствующие периоды просрочки: если ставка менялась, просрочка разбивается на периоды и к каждому применяется своя ставка (п. 1 ст. 395 ГК РФ)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сайт Банка России cbr.ru, раздел «Ключевая ставка»; внесите значение для каждого периода просрочки на дату расчёта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{{СУММА_ПРОЦЕНТОВ}}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Проценты по ст. 395 ГК РФ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Срок из пункта договора о претензионном порядке; если договор молчит — срок назначаете вы сами. Ч. 5 ст. 4 АПК РФ задаёт срок ожидания до подачи иска. По общему правилу ожидание исчисляется со дня направления претензии; иной срок и порядок проверяются по закону или договору. Отдельно зафиксируйте срок ответа и срок ожидания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договор. По закону или договору проверьте основание, длительность, порядок исчисления, начало и окончание ожидания до подачи иска; подавайте иск после его истечения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{{СРОК_ИСПОЛНЕНИЯ_ТРЕБОВАНИЯ}}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Дата, до которой вы требуете и ответа, и оплаты в первом письме. Один срок на оба требования — так он и написан в тексте письма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ваше решение; законом не регулируется. Срок ожидания перед иском он не сокращает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Арбитражный суд по подсудности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договор (ст. 37 АПК РФ) либо суд по адресу ответчика (ст. 35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{{ЦЕНА_ИСКА}}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Долг плюс проценты (или неустойка) на дату подачи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Расчёт выбранной санкции на дату подачи: для процентов — файл 14, для договорной неустойки — отдельный расчёт по условиям договора; файл 14 не используется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{{РАЗМЕР_ГОСПОШЛИНЫ}}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Госпошлина от цены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ст. 333.21 НК РФ; считать калькулятором на сайте арбитражного суда или в «Мой арбитр». По памяти не писать: размеры менялись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{{ДАТА_ПРЕТЕНЗИИ}}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{{ДАТА_ОТПРАВКИ_ПРЕТЕНЗИИ}}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Дата претензии и дата её фактического направления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опись вложения, трек-номер отправления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7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На какой день просрочки вы отправляете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7"/>
                <w:szCs w:val="22"/>
              </w:rPr>
              <w:t xml:space="preserve">ваше решение; управленческий срок, не юридический</w:t>
            </w:r>
          </w:p>
        </w:tc>
      </w:tr>
    </w:tbl>
    <w:p>
      <w:pPr>
        <w:spacing w:after="60"/>
      </w:pPr>
      <w:r>
        <w:rPr>
          <w:rFonts w:ascii="Times New Roman" w:hAnsi="Times New Roman"/>
          <w:color w:val="262F37"/>
          <w:sz w:val="21"/>
        </w:rPr>
        <w:br w:type="page"/>
      </w:r>
    </w:p>
    <w:p>
      <w:pPr>
        <w:pStyle w:val="Heading1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32"/>
        </w:rPr>
        <w:t xml:space="preserve">Актуальные ставки и сроки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Таблица связывает каждое переменное значение с источником: договором, подтверждающими документами, действующей нормой или калькулятором суда.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На дату составления документа внесите ключевую ставку Банка России, применимые сроки и размер госпошлины из названных источников. Так расчёт опирается на актуальные данные.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Общие реквизиты выпишите один раз; перед каждым новым документом обновите даты и изменяющиеся суммы по подтверждающим документам и расчёту выбранной санкции.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Для процентов используйте файл 14: он даст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{{ЧИСЛО_ДНЕЙ_ПРОСРОЧКИ}}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 Для неустойки подготовьте отдельный расчёт по договору; файл 14 для неё не используется.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два.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Отправьте так, как описано в разделе «Отправка» соответствующего документа.</w:t>
      </w:r>
    </w:p>
    <w:sectPr>
      <w:pgSz w:w="11906" w:h="16838" w:orient="portrait"/>
      <w:pgMar w:top="964" w:right="1020" w:bottom="964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180"/>
    </w:pPr>
    <w:rPr>
      <w:rFonts w:ascii="Times New Roman" w:hAnsi="Times New Roman"/>
      <w:b/>
      <w:color w:val="000000"/>
      <w:sz w:val="34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2026-10-08T17:02:01.792Z</dcterms:created>
  <dcterms:modified xsi:type="dcterms:W3CDTF">2026-10-08T17:02:01.792Z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