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Перечень пакета для заявления требования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Что собрать до подачи заявления о включении требования в реестр. С отметками о наличии.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документов для подготовки и сопровождения требования о возврате денежных средств.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подтверждается документами. Заявление без подтверждающих документов рассматривается не в вашу пользу, а досылка «когда соберём» упирается в срок, который к тому моменту истечёт. Перечень нужен, чтобы сбор шёл параллельно подготовке заявления, а не после неё.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Печатайте и заполняйте от руки: столбец «Есть» пустая намеренно. Пакет собирается по папкам и кабинетам, а не в файле.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 срок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числом в этом комплекте не назван намеренно: он зависит от процедуры, считается от даты публикации сведений и меняется вместе с редакцией закона, а скачанный файл не обновляется. Величину вы смотрите сами — в действующей редакции названной ниже статьи, на дату подачи.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— пункт 1 статьи 71 Закона о банкротстве. Обратите внимание, для чего этот срок установлен: для целей участия в первом собрании кредиторов. Требования, предъявленные позже, по пункту 7 той же статьи рассматриваются судом после введения следующей за наблюдением процедуры. То есть пропуск этого срока стоит участия в первом собрании — но не самого требования.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Конкурсное производство — пункт 1 статьи 142. По истечении этого срока реестр закрывается, и заявленное после закрытия удовлетворяется за счёт имущества, оставшегося после расчётов с включёнными в реестр (пункт 4 той же статьи). Здесь пропуск стоит дорого, и здесь он и означает то, чего обычно боятся.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Внешнее управление — статья 100, и срока в ней нет: пункт 1 говорит, что кредиторы вправе предъявить требования в любой момент в ходе внешнего управления. Не ищите в этой статье величину — её там не должно быть, и её отсутствие не означает, что тянуть безопасно.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какой публикации считать. Сведения включаются в ЕФРСБ и опубликовываются в официальном издании (статья 28), и даты этих двух действий совпадают не всегда. Срок идёт от даты опубликования в официальном издании — её и берите за точку отсчёта. Дату сообщения в ЕФРСБ выписывайте тоже, но для другого: там сведения появляются обычно раньше, и по этой дате видно, сколько времени вы уже потеряли.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А. Основание требования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260"/>
        <w:gridCol w:w="1000"/>
      </w:tblGrid>
      <w:tr>
        <w:trPr>
          <w:tblHeader/>
        </w:trPr>
        <w:tc>
          <w:tcPr>
            <w:tcW w:type="dxa" w:w="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 и на что смотреть</w:t>
            </w:r>
          </w:p>
        </w:tc>
        <w:tc>
          <w:tcPr>
            <w:tcW w:type="dxa" w:w="1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Есть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субподряда со всеми приложениями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Оригинал или заверенная копия. Приложения — сметы, графики, техническое задание — прикладываются вместе с договором: без них условия об оплате читаются неполно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Дополнительные соглашения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без исключения, включая соглашения об изменении цены, сроков и порядка оплаты. Пропущенное соглашение — это расхождение вашего расчёта с документами должника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Акты о приёмке выполненных работ (КС-2) и справки о стоимости (КС-3)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Подписанные обеими сторонами. Если договором предусмотрены собственные формы актов — те, что названы в договоре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Акты по неподписанным объёмам, односторонние акты, уведомления о готовности к приёмке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такие есть, кладите отдельной стопкой и обсуждайте с юристом: это другой по прочности блок требования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Счета-фактуры, универсальные передаточные документы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Бухгалтерия. Показывают, что операция отражена в учёте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сверки взаимных расчётов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Подписанный обеими сторонами — при наличии. Сильное подтверждение размера долга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Б. Подтверждение размера долга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260"/>
        <w:gridCol w:w="1000"/>
      </w:tblGrid>
      <w:tr>
        <w:trPr>
          <w:tblHeader/>
        </w:trPr>
        <w:tc>
          <w:tcPr>
            <w:tcW w:type="dxa" w:w="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 и на что смотреть</w:t>
            </w:r>
          </w:p>
        </w:tc>
        <w:tc>
          <w:tcPr>
            <w:tcW w:type="dxa" w:w="1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Есть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 требования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Основной долг отдельно, финансовые санкции — неустойка, проценты — отдельно. В деле о банкротстве санкции учитываются отдельно от основного долга (ст. 137 Закона о банкротстве), поэтому расчёт «одной суммой» придётся переделывать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Банковские выписки и платёжные поручения по частичным оплатам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Подтверждают, что вы учли всё полученное. Завышенная сумма подрывает требование целиком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Документы по авансу и его отработке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аванс был. Неотработанный аванс — встречное требование к вам, и выяснится оно в любом случае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Документы по гарантийным удержаниям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Условие договора об удержании, расчёт удержанных сумм, срок и условия возврата. Наступил ли срок возврата к дате подачи — вопрос к юристу: от ответа зависит, заявлять ли эту часть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В. Досудебная переписка и её отправка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260"/>
        <w:gridCol w:w="1000"/>
      </w:tblGrid>
      <w:tr>
        <w:trPr>
          <w:tblHeader/>
        </w:trPr>
        <w:tc>
          <w:tcPr>
            <w:tcW w:type="dxa" w:w="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 и на что смотреть</w:t>
            </w:r>
          </w:p>
        </w:tc>
        <w:tc>
          <w:tcPr>
            <w:tcW w:type="dxa" w:w="1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Есть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 и доказательства её направления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 вложения, квитанция, почтовый идентификатор. Само письмо без подтверждения отправки доказательством не является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Уведомления, письма, ответы должника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Всё, где должник признаёт долг или называет дату оплаты. Признание долга в переписке — сильный документ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Переписка по электронной почте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Распечатки с адресами, датами и сохранённые оригиналы. Канал должен быть предусмотрен договором или фактически использоваться сторонами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Г. Судебные документы, если спор уже шёл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260"/>
        <w:gridCol w:w="1000"/>
      </w:tblGrid>
      <w:tr>
        <w:trPr>
          <w:tblHeader/>
        </w:trPr>
        <w:tc>
          <w:tcPr>
            <w:tcW w:type="dxa" w:w="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 и на что смотреть</w:t>
            </w:r>
          </w:p>
        </w:tc>
        <w:tc>
          <w:tcPr>
            <w:tcW w:type="dxa" w:w="1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Есть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Вступившее в законную силу решение суда о взыскании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оно есть, состав пакета и порядок другой — обязательно скажите об этом юристу до подачи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Исполнительный лист, сведения об исполнительном производстве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том числе постановления судебного пристава. Показывают, что и когда взыскивалось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Д. О вас как о заявителе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260"/>
        <w:gridCol w:w="1000"/>
      </w:tblGrid>
      <w:tr>
        <w:trPr>
          <w:tblHeader/>
        </w:trPr>
        <w:tc>
          <w:tcPr>
            <w:tcW w:type="dxa" w:w="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 и на что смотреть</w:t>
            </w:r>
          </w:p>
        </w:tc>
        <w:tc>
          <w:tcPr>
            <w:tcW w:type="dxa" w:w="1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Есть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из ЕГРЮЛ на вашу организацию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Свежая. Дату получения смотрите по требованиям к подаче на дату подачи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Документы о полномочиях подписанта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решение о назначении руководителя либо доверенность. Заявление, подписанное неуполномоченным лицом, — потерянное время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для расчётов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Актуальные банковские реквизиты вашей организации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Е. Направление копий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260"/>
        <w:gridCol w:w="1000"/>
      </w:tblGrid>
      <w:tr>
        <w:trPr>
          <w:tblHeader/>
        </w:trPr>
        <w:tc>
          <w:tcPr>
            <w:tcW w:type="dxa" w:w="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 и на что смотреть</w:t>
            </w:r>
          </w:p>
        </w:tc>
        <w:tc>
          <w:tcPr>
            <w:tcW w:type="dxa" w:w="1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Есть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Доказательства направления копии заявления должнику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Опись, квитанция, идентификатор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Доказательства направления копии заявления арбитражному управляющему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Опись, квитанция, идентификатор. Адрес — из публикации сведений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Доказательства направления копий иным лицам, участвующим в деле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Круг таких лиц зависит от процедуры и стадии. Уточните у юриста: это частая причина оставления заявления без движения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этим пользоваться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Порядок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Пройдите перечень целиком и отметьте, что есть, — до того, как начнёте заполнять заявление.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каждому отсутствующему документу назначьте, кто и когда его достаёт. «Нет» без фамилии и даты означает, что документа не будет.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Отсканируйте всё, что отмечено, одним комплектом: подача через «Мой арбитр» идёт файлами.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Отдайте пакет юристу вместе с заполненной заготовкой заявления. Юрист, которому принесли собранный пакет, тратит на дело кратно меньше времени и берёт соответственно.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перечне нет намеренно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Требований к заверению копий и к форме подачи числом и деталями: они зависят от суда и от способа подачи и проверяются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Документов, нужных для оспаривания сделок и для привлечения к субсидиарной ответственности. Это работа юриста, и состав материалов там определяется позицией, а не списком.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Сроков числом — см. раздел «Про срок» выше.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Если чего-то нет совсем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Отсутствие документа не повод не подавать вовремя. Подача в срок с тем, что есть, и последующее представление недостающего — разговор с юристом, а вот пропущенный срок разговором не лечится. Порядок действий обсудите до даты, а не после неё.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2026-08-15T02:55:28.839Z</dcterms:created>
  <dcterms:modified xsi:type="dcterms:W3CDTF">2026-08-15T02:55:28.840Z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