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Проверьте предложение о расчёте квартирами: оплачена ли квартира, какие права передаются и какие обязательства остаются. Запросите подтверждающие документы у сторон сделки до принятия решения.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установить, в каком состоянии объект на самом деле: направлено ли извещение об окончании строительства, проведена ли итоговая проверка, выдано ли ЗОС или отказ с замечаниями, действует ли разрешение на строительство. Устные «на днях сдаём» ответом не являются; письменный ответ — документ на случай спора об оплате, а молчание в назначенный срок — само по себе ответ о состоянии дел.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адресата ответить: обязанности отвечать на такой запрос закон не устанавливает.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собственную проверку по открытым источникам (проектная декларация в ЕИСЖС, разрешение на строительство, картотека арбитража, Федресурс) — она делается независимо от ответа, по шагу 3 «Алгоритма: проверка расчёта метрами до входа».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запускает досудебный порядок и не прерывает никаких сроков.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