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4"/>
          <w:szCs w:val="32"/>
        </w:rPr>
        <w:t xml:space="preserve">Как заполнять: словарь полей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Словарь подстановок для файлов 11–16 комплекта. Реквизиты форм 01–05 заполняйте по их подписям полей.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Формат поля — двойные фигурные скобки и имя заглавными буквами: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{{ИМЯ_ПОЛЯ}}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Одно имя поля сохраняет один смысл во всех документах. Общие реквизиты сторон и договора можно переносить; дату документа, текущий долг, проценты или неустойку, число дней просрочки, цену иска и пошлину проверяйте и обновляйте на дату каждого нового документа.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Главное правило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Перед отправкой любого документа найдите поиском символы «{{». Если они нашлись — документ не готов. Незаполненное поле в отправленной претензии мешает адресату понять требование. Заполните все поля по исходным документам и проверьте итоговый текст.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Стороны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{{ОГРН_ПОДРЯДЧИКА}}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{{АДРЕС_ПОДРЯДЧИКА}}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{{КОНТАКТЫ_ПОДРЯДЧИКА}}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{{ОГРН_ЗАКАЗЧИКА}}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ИНН и ОГРН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выписка ЕГРЮЛ; для иска к организации ИНН и ОГРН обязательны (п. 3 ч. 2 ст. 125 АПК РФ). Если должник — индивидуальный предприниматель, тот же пункт требует иного состава сведений: сверьтесь с ним по действующей редакции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{{АДРЕС_ЗАКАЗЧИКА}}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>свежая выписка ЕГРЮЛ, а не шапка договора: адрес мог смениться. Для приложения к иску выписка не должна быть старше срока, установленного п. 9 ч. 1 ст. 126 АПК РФ: она должна быть получена не ранее чем за установленный там период до дня обращения в суд — применимый период сверьте по действующей редакции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{{ФИО_ПОДПИСАНТА}}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{{ОСНОВАНИЕ_ПОЛНОМОЧИЙ}}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устав, доверенность</w:t>
            </w:r>
          </w:p>
        </w:tc>
      </w:tr>
    </w:tbl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Договор и объект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{{НОМЕР_ДОГОВОРА}}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{{ДАТА_ДОГОВОРА}}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Реквизиты договора субподряда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титульный лист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{{ПРЕДМЕТ_ДОГОВОРА}}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Краткое описание работ по договору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раздел «Предмет договора»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{{ОБЪЕКТ}}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Наименование и адрес объекта строительства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договор, проектная документация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{{ПУНКТ_ДОГОВОРА_ОБ_ОПЛАТЕ}}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Номер пункта о порядке и сроке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{{СРОК_ОПЛАТЫ_ПО_ДОГОВОРУ}}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Срок оплаты дословно, как в договоре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договора; если срок не установлен — см. раздел «Если договор не устанавливает срок оплаты» в претензии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{{ПУНКТ_ДОГОВОРА_О_НЕУСТОЙКЕ}}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Пункт о неустойке за просрочку оплаты,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{{ПУНКТ_ДОГОВОРА_О_ПРЕТЕНЗИОННОМ_ПОРЯДКЕ}}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Пункт о досудебном порядке и сроке ответа на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{{ПУНКТ_ДОГОВОРА_О_ПОДСУДНОСТИ}}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Пункт о договорной подсудности, если он есть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текст договора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Акты и долг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{{НОМЕР_КС2}}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{{ДАТА_КС2}}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Реквизиты акта о приёмке выполненных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подписанный акт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{{НОМЕР_КС3}}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{{ДАТА_КС3}}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Реквизиты справки о стоимости работ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подписанная справка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{{СУММА_ПО_АКТУ}}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Стоимость работ по акту: цифрами и прописью, с указанием НДС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КС-2 и КС-3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{{СУММА_ДОЛГА}}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Неоплаченный остаток за вычетом авансов и частичных оплат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акты сверки, банковские выписки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{{ДАТА_НАЧАЛА_ПРОСРОЧКИ}}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Первый день просрочки: день, следующий за последним днём срока оплаты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по договору, а не по формуле: (1) найдите, от какого события договор считает срок оплаты — подписание акта заказчиком, подписание КС-3, получение счёта, передача исполнительной документации; дата, проставленная в КС-2, и дата её подписания заказчиком — разные даты; (2) отсчитайте срок от этого события, не считая самого дня события: течение срока начинается на следующий день после наступления события (ст. 191 ГК РФ); (3) если последний день срока нерабочий, окончанием считается ближайший следующий рабочий день (ст. 193 ГК РФ); (4) первый день просрочки — следующий за днём окончания срока. Ошибка здесь меняет сумму процентов, цену иска и пошлину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{{ЧИСЛО_ДНЕЙ_ПРОСРОЧКИ}}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Дней просрочки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файл расчёта процентов</w:t>
            </w:r>
          </w:p>
        </w:tc>
      </w:tr>
    </w:tbl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Проценты и суд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2760"/>
      </w:tblGrid>
      <w:tr>
        <w:trPr>
          <w:tblHeader/>
        </w:trPr>
        <w:tc>
          <w:tcPr>
            <w:tcW w:type="dxa" w:w="29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Поле</w:t>
            </w:r>
          </w:p>
        </w:tc>
        <w:tc>
          <w:tcPr>
            <w:tcW w:type="dxa" w:w="340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Что подставить</w:t>
            </w:r>
          </w:p>
        </w:tc>
        <w:tc>
          <w:tcPr>
            <w:tcW w:type="dxa" w:w="2760"/>
            <w:shd w:fill="F2EFE9" w:val="clear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Откуда брать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{{КЛЮЧЕВАЯ_СТАВКА_ЦБ}}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Ключевая ставка Банка России, действовавшая в соответствующие периоды просрочки: если ставка менялась, просрочка разбивается на периоды и к каждому применяется своя ставка (п. 1 ст. 395 ГК РФ)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сайт Банка России cbr.ru, раздел «Ключевая ставка»; внесите значение для каждого периода просрочки на дату расчёта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{{СУММА_ПРОЦЕНТОВ}}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Проценты по ст. 395 ГК РФ на дату документа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файл расчёта процентов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{{СРОК_ОТВЕТА_НА_ПРЕТЕНЗИЮ}}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Срок из пункта договора о претензионном порядке; если договор молчит — срок назначаете вы сами. Ч. 5 ст. 4 АПК РФ задаёт срок ожидания до подачи иска. По общему правилу ожидание исчисляется со дня направления претензии; иной срок и порядок проверяются по закону или договору. Отдельно зафиксируйте срок ответа и срок ожидания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договор. По закону или договору проверьте основание, длительность, порядок исчисления, начало и окончание ожидания до подачи иска; подавайте иск после его истечения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{{СРОК_ИСПОЛНЕНИЯ_ТРЕБОВАНИЯ}}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Дата, до которой вы требуете и ответа, и оплаты в первом письме. Один срок на оба требования — так он и написан в тексте письма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ваше решение; законом не регулируется. Срок ожидания перед иском он не сокращает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{{НАИМЕНОВАНИЕ_АРБИТРАЖНОГО_СУДА}}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Арбитражный суд по подсудности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договор (ст. 37 АПК РФ) либо суд по адресу ответчика (ст. 35 АПК РФ)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{{ЦЕНА_ИСКА}}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Долг плюс проценты (или неустойка) на дату подачи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Расчёт выбранной санкции на дату подачи: для процентов — файл 14, для договорной неустойки — отдельный расчёт по условиям договора; файл 14 не используется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{{РАЗМЕР_ГОСПОШЛИНЫ}}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Госпошлина от цены иска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ст. 333.21 НК РФ; считать калькулятором на сайте арбитражного суда или в «Мой арбитр». По памяти не писать: размеры менялись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{{ДАТА_ДОКУМЕНТА}}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Исходящий номер и дата по вашему журналу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делопроизводство организации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{{ДАТА_ПРЕТЕНЗИИ}}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{{ДАТА_ОТПРАВКИ_ПРЕТЕНЗИИ}}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Дата претензии и дата её фактического направления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опись вложения, трек-номер отправления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262F37"/>
                <w:sz w:val="17"/>
                <w:szCs w:val="22"/>
              </w:rPr>
              <w:t xml:space="preserve">{{ДЕНЬ_ОТПРАВКИ_ПРЕТЕНЗИИ}}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На какой день просрочки вы отправляете претензию</w:t>
            </w:r>
          </w:p>
        </w:tc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262F37"/>
                <w:sz w:val="17"/>
                <w:szCs w:val="22"/>
              </w:rPr>
              <w:t xml:space="preserve">ваше решение; управленческий срок, не юридический</w:t>
            </w:r>
          </w:p>
        </w:tc>
      </w:tr>
    </w:tbl>
    <w:p>
      <w:pPr>
        <w:spacing w:after="60"/>
      </w:pPr>
      <w:r>
        <w:rPr>
          <w:rFonts w:ascii="Times New Roman" w:hAnsi="Times New Roman"/>
          <w:color w:val="262F37"/>
          <w:sz w:val="21"/>
        </w:rPr>
        <w:br w:type="page"/>
      </w:r>
    </w:p>
    <w:p>
      <w:pPr>
        <w:pStyle w:val="Heading1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32"/>
        </w:rPr>
        <w:t xml:space="preserve">Актуальные ставки и сроки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Таблица связывает каждое переменное значение с источником: договором, подтверждающими документами, действующей нормой или калькулятором суда.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На дату составления документа внесите ключевую ставку Банка России, применимые сроки и размер госпошлины из названных источников. Так расчёт опирается на актуальные данные.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8E6F32"/>
          <w:sz w:val="24"/>
          <w:szCs w:val="26"/>
        </w:rPr>
        <w:t xml:space="preserve">Порядок работы с комплектом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Общие реквизиты выпишите один раз; перед каждым новым документом обновите даты и изменяющиеся суммы по подтверждающим документам и расчёту выбранной санкции.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Для процентов используйте файл 14: он даст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{{СУММА_ПРОЦЕНТОВ}}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 и </w:t>
      </w:r>
      <w:r>
        <w:rPr>
          <w:rFonts w:ascii="Times New Roman" w:cs="Times New Roman" w:eastAsia="Times New Roman" w:hAnsi="Times New Roman"/>
          <w:b/>
          <w:bCs/>
          <w:color w:val="262F37"/>
          <w:sz w:val="21"/>
          <w:szCs w:val="24"/>
        </w:rPr>
        <w:t xml:space="preserve">{{ЧИСЛО_ДНЕЙ_ПРОСРОЧКИ}}</w:t>
      </w: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. Для неустойки подготовьте отдельный расчёт по договору; файл 14 для неё не используется.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Подставьте значения в нужный документ, удалите пояснения в квадратных скобках, выберите один вариант там, где их два.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Проверьте поиском, что символов «{{» не осталось.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color w:val="262F37"/>
          <w:sz w:val="21"/>
          <w:szCs w:val="24"/>
        </w:rPr>
        <w:t xml:space="preserve">Отправьте так, как описано в разделе «Отправка» соответствующего документа.</w:t>
      </w:r>
    </w:p>
    <w:sectPr>
      <w:pgSz w:w="11906" w:h="16838" w:orient="portrait"/>
      <w:pgMar w:top="964" w:right="1020" w:bottom="96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180"/>
    </w:pPr>
    <w:rPr>
      <w:rFonts w:ascii="Times New Roman" w:hAnsi="Times New Roman"/>
      <w:b/>
      <w:color w:val="000000"/>
      <w:sz w:val="34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2026-10-08T17:02:01.792Z</dcterms:created>
  <dcterms:modified xsi:type="dcterms:W3CDTF">2026-10-08T17:02:01.792Z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