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2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4"/>
          <w:szCs w:val="32"/>
        </w:rPr>
        <w:t xml:space="preserve">Претензия на неоплату по КС-2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Форма досудебного требования об оплате принятых работ и порядок заполнения.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Результат применения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До обращения в арбитражный суд с денежным требованием из договора соблюдите применимый досудебный порядок: направьте претензию (требование) и выдержите срок и порядок, установленные законом или договором (ч. 5 ст. 4 АПК РФ). При несоблюдении обязательного досудебного порядка до принятия искового заявления суд возвращает его (п. 5 ч. 1 ст. 129 АПК РФ); если нарушение установлено после принятия — оставляет заявление без рассмотрения (п. 2 ч. 1 ст. 148 АПК РФ). Вопрос возврата или зачёта пошлины проверьте по ст. 333.40 НК РФ.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Про исковую давность. Пункт 3 ст. 202 ГК РФ предусматривает приостановление её течения при предусмотренной законом процедуре разрешения спора во внесудебном порядке. Применимость этого основания, начало и продолжительность приостановления проверьте с учётом закона, договора и действующих разъяснений суда; не переносите дату окончания давности автоматически из-за отправки претензии. Если давность на исходе, до дальнейших действий сверьте её остаток и применимый досудебный срок по документам и действующим нормам. Назначенный в претензии срок ответа не позволяет подавать иск до окончания применимого досудебного ожидания.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Работы выполнены и приняты: акт КС-2 и справка КС-3 (или иной предусмотренный договором акт) подписаны обеими сторонами.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Срок оплаты по договору истёк, оплата не поступила или поступила частично.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Мягкий шаг — «Уведомление о просрочке оплаты» — либо уже сделан, либо осознанно пропущен. Претензию можно направлять и первым документом.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Как выбрать маршрут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При подписанных актах направьте требование об оплате с подтверждённой суммой долга и доказательствами отправки.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При уклонении заказчика от приёмки или одностороннем акте (ст. 753 ГК РФ) откройте раздел Б файла «Алгоритм действий при задержке оплаты» и соберите подтверждения сдачи работ.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При встречных требованиях, зачёте или признаках банкротства сопоставьте документы и определите применимый порядок предъявления требования.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Поля, на которых чаще всего ошибаются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— за вычетом всех частичных оплат. Завышенная сумма в претензии подрывает позицию: ответчик покажет платёжки, и суд увидит, что истец считать не умеет.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{{АДРЕС_ЗАКАЗЧИКА}}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— сверьте актуальные реквизиты должника по ЕГРЮЛ и адрес для сообщений по договору. Адрес мог смениться; направление по прежнему адресу создаёт риск спора о доставке. Применимые адрес и канал проверьте по договору и фактическим обстоятельствам направления.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— считается по договору, а не по формуле. Если последний день срока оплаты нерабочий, днём окончания срока считается ближайший следующий рабочий день (ст. 193 ГК РФ), и просрочка начинается со следующего за ним дня. Полный порядок отсчёта — в файле «Как заполнять: словарь полей», строка этого поля.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{{СРОК_ОТВЕТА_НА_ПРЕТЕНЗИЮ}}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— из пункта договора о претензионном порядке. Если договор молчит, срок ответа назначаете вы сами: ч. 5 ст. 4 АПК РФ задаёт не срок ответа на претензию, а срок ожидания до подачи иска.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Срок, который вы даёте заказчику, и срок ожидания перед иском — разные вещи. По общему правилу ч. 5 ст. 4 АПК РФ ожидание исчисляется со дня направления претензии, а не со дня её получения; иной срок и порядок проверяются по закону или договору. Назначенный вами более короткий срок ответа ожидание не заменяет. До подачи проверьте основание, длительность, порядок исчисления, начало и окончание применимого срока; до его истечения иск не подавайте.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Полный словарь подстановок — в файле «Как заполнять: словарь полей».</w:t>
      </w:r>
    </w:p>
    <w:p>
      <w:pPr>
        <w:spacing w:after="60"/>
      </w:pPr>
      <w:r>
        <w:rPr>
          <w:rFonts w:ascii="Times New Roman" w:hAnsi="Times New Roman"/>
          <w:color w:val="262F37"/>
          <w:sz w:val="21"/>
        </w:rPr>
        <w:br w:type="page"/>
      </w:r>
    </w:p>
    <w:p>
      <w:pPr>
        <w:pStyle w:val="Heading1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32"/>
        </w:rPr>
        <w:t xml:space="preserve">Текст претензии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60" w:before="120"/>
      </w:pP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{{НАИМЕНОВАНИЕ_ЗАКАЗЧИКА}}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{{ИНН_ЗАКАЗЧИКА}}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{{ОГРН_ЗАКАЗЧИКА}}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{{АДРЕС_ЗАКАЗЧИКА}}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{{НАИМЕНОВАНИЕ_ПОДРЯДЧИКА}}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{{ОГРН_ПОДРЯДЧИКА}}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{{АДРЕС_ПОДРЯДЧИКА}}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{{ДАТА_ДОКУМЕНТА}}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ПРЕТЕНЗИЯ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(досудебное требование об оплате выполненных работ)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Между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(далее — Заказчик) и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(далее — Подрядчик) заключён договор №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(далее — Договор), по которому Подрядчик обязался выполнить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{{ПРЕДМЕТ_ДОГОВОРА}}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, а Заказчик — принять результат работ и оплатить его.</w:t>
      </w:r>
    </w:p>
    <w:p>
      <w:pPr>
        <w:keepNext/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1. Работы выполнены и приняты.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Подрядчик выполнил работы, что подтверждается актом о приёмке выполненных работ (форма КС-2) №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{{НОМЕР_КС2}}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{{ДАТА_КС2}}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и справкой о стоимости выполненных работ и затрат (форма КС-3) №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{{НОМЕР_КС3}}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{{ДАТА_КС3}}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, подписанными обеими сторонами без замечаний. Стоимость принятых работ составляет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{{СУММА_ПО_АКТУ}}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[Если актов несколько — перечислить каждый: номер, дата, сумма. Реестр актов допустимо вынести в приложение.]</w:t>
      </w:r>
    </w:p>
    <w:p>
      <w:pPr>
        <w:keepNext/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2. Обязанность оплаты наступила и нарушена.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Согласно п.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{{ПУНКТ_ДОГОВОРА_ОБ_ОПЛАТЕ}}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Договора оплата производится в срок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{{СРОК_ОПЛАТЫ_ПО_ДОГОВОРУ}}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 Срок оплаты истёк; с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Заказчик находится в просрочке.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 учётом частичных оплат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[если были — перечислить: дата, сумма, платёжное поручение; если не было — абзац удалить]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задолженность Заказчика на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составляет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В силу ст. 309, 310 Гражданского кодекса РФ обязательства должны исполняться надлежащим образом; односторонний отказ от исполнения не допускается. Обязанность заказчика оплатить принятые работы установлена ст. 711 и ст. 746 Гражданского кодекса РФ и Договором.</w:t>
      </w:r>
    </w:p>
    <w:p>
      <w:pPr>
        <w:keepNext/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3. На сумму долга начисляются проценты.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На основании ст. 395 Гражданского кодекса РФ за пользование чужими денежными средствами подлежат уплате проценты, размер которых определяется ключевой ставкой Банка России, действовавшей в соответствующие периоды, если иной размер процентов не установлен законом или договором. По состоянию на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проценты составляют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(расчёт — Приложение № 2). Проценты продолжают начисляться по день фактической оплаты, если законом, иными правовыми актами или договором не установлен более короткий срок их начисления.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[Если Договором установлена неустойка за просрочку оплаты (п. {{ПУНКТ_ДОГОВОРА_О_НЕУСТОЙКЕ}}) — заявлять неустойку по договору вместо процентов по ст. 395 ГК РФ: когда соглашением сторон предусмотрена неустойка за неисполнение или ненадлежащее исполнение денежного обязательства, предусмотренные ст. 395 ГК РФ проценты не подлежат взысканию, если иное не предусмотрено законом или договором (п. 4 ст. 395 ГК РФ). Выбор требования сделайте по условиям конкретного договора и расчёту.]</w:t>
      </w:r>
    </w:p>
    <w:p>
      <w:pPr>
        <w:keepNext/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4. Требование.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На основании изложенного требуем в срок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{{СРОК_ОТВЕТА_НА_ПРЕТЕНЗИЮ}}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с момента получения настоящей претензии: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1) оплатить задолженность в размере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;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2) уплатить проценты по ст. 395 ГК РФ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[либо неустойку по п. {{ПУНКТ_ДОГОВОРА_О_НЕУСТОЙКЕ}} Договора]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, рассчитанные на дату платежа.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Реквизиты для перечисления: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{{БАНКОВСКИЕ_РЕКВИЗИТЫ_ПОДРЯДЧИКА}}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При неисполнении настоящего требования в указанный срок Подрядчик обратится в арбитражный суд с иском о взыскании задолженности, процентов (неустойки), а также судебных расходов, включая государственную пошлину и расходы на представителя (ст. 110 АПК РФ).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Приложения: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1. Копии акта КС-2 №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{{НОМЕР_КС2}}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{{ДАТА_КС2}}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и справки КС-3 №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{{НОМЕР_КС3}}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{{ДАТА_КС3}}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2. Расчёт процентов по ст. 395 ГК РФ на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[Акт сверки взаимных расчётов — при наличии.]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{{ОСНОВАНИЕ_ПОЛНОМОЧИЙ}}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/</w:t>
      </w:r>
    </w:p>
    <w:p>
      <w:pPr>
        <w:spacing w:after="60"/>
      </w:pPr>
      <w:r>
        <w:rPr>
          <w:rFonts w:ascii="Times New Roman" w:hAnsi="Times New Roman"/>
          <w:color w:val="262F37"/>
          <w:sz w:val="21"/>
        </w:rPr>
        <w:br w:type="page"/>
      </w:r>
    </w:p>
    <w:p>
      <w:pPr>
        <w:pStyle w:val="Heading1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32"/>
        </w:rPr>
        <w:t xml:space="preserve">Как заполнять и отправлять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Проценты или договорная неустойка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Текст претензии выше подготовлен для процентов по ст. 395 ГК РФ. Выберите один вид санкции; при договорной неустойке выполните все замены ниже. При выборе процентов удалите альтернативу неустойки и оставьте только проценты в требовании и предупреждении о суде. Для выбора неустойки сверьте начало и порядок её начисления по договору: они могут отличаться от расчёта процентов по ст. 395 ГК РФ.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1. Заголовок раздела 3 «На сумму долга начисляются проценты» замените на «Договорная неустойка за просрочку оплаты». Следующий абзац замените целиком: «За просрочку оплаты п.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{{ПУНКТ_ДОГОВОРА_О_НЕУСТОЙКЕ}}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Договора предусмотрена неустойка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[условия и ставка по договору]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 За период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[начало и конец периода]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по состоянию на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неустойка составляет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[сумма неустойки, руб.]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(расчёт — Приложение № 2).»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2. Пояснение в квадратных скобках после раздела 3 удалите после выбора ветки. Пункт 2 требования замените целиком: «2) уплатить неустойку по п.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{{ПУНКТ_ДОГОВОРА_О_НЕУСТОЙКЕ}}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Договора в размере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[сумма неустойки, руб.]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за период </w:t>
      </w:r>
      <w:r>
        <w:rPr>
          <w:rFonts w:ascii="Times New Roman" w:cs="Times New Roman" w:eastAsia="Times New Roman" w:hAnsi="Times New Roman"/>
          <w:b w:val="false"/>
          <w:bCs w:val="false"/>
          <w:color w:val="262F37"/>
          <w:sz w:val="21"/>
          <w:szCs w:val="24"/>
        </w:rPr>
        <w:t xml:space="preserve">[начало и конец периода]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по состоянию на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.» Не копируйте автоматически продолжение процентов по день оплаты; дальнейшее начисление неустойки проверяют отдельно по договору.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3. В предупреждении об обращении в суд замените «процентов (неустойки)» на «неустойки»; в ветке процентов — на «процентов».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4. Приложение № 2 замените на «2. Расчёт договорной неустойки на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». Приложите собственный расчёт по договору с периодом, базой, условиями, ставкой и учётом оплат. Файл 14 рассчитывает только проценты по ст. 395 ГК РФ и для неустойки не используется. Поле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не используйте для суммы неустойки.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5. Проверьте название раздела 3, обоснование, пункт 2 требования, предупреждение о суде и Приложение № 2: остаётся одна ветка, одна дата, период и сумма; другую ветку удалите.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Отправка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Почтой России ценным письмом с описью вложения и уведомлением о вручении на юридический адрес по выписке ЕГРЮЛ. Дополнительно — на адрес электронной почты, указанный в договоре, если договором такой канал предусмотрен.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Сохраните доказательства состава, направления и доставки претензии по выбранному каналу. При почтовой отправке сохраните опись вложения, чек и трек-номер; при другом предусмотренном договором канале — соответствующие подтверждения. Они понадобятся для подтверждения соблюдения досудебного порядка.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Если договор не устанавливает срок оплаты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Ситуация решается через ст. 314 ГК РФ (срок исполнения обязательства) и ст. 711 ГК РФ, но определение даты начала просрочки здесь спорно. Согласуйте дату по условиям договора и подтверждениям: от неё считаются проценты, и ошибка в дате — это ошибка в сумме.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О формах КС-2 и КС-3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КС-2 и КС-3 — унифицированные формы первичной учётной документации в капитальном строительстве; в договорах и в практике их вводят со ссылкой на постановление Госкомстата России от 11.11.1999 № 100. Реквизиты этого акта и правило об обязательности либо необязательности унифицированных форм в нормативный контур комплекта не входят и по официальному публикатору нами не сверялись: если ссылка на него нужна в вашем документе, проверьте её в правовой базе. На требование об оплате она не влияет — право требовать деньги даёт договор и подписанный акт, а не акт, которым введена форма бланка.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Если договор предусматривает собственные формы актов — ссылайтесь в тексте на акт, названный в договоре.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Актуальные ставки, сроки и пошлина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Для расчёта возьмите значения ставки, срока и пошлины из названных источников на дату документа. Так сумма требования и комплект приложений опираются на актуальные данные.</w:t>
      </w:r>
    </w:p>
    <w:sectPr>
      <w:pgSz w:w="11906" w:h="16838" w:orient="portrait"/>
      <w:pgMar w:top="964" w:right="1020" w:bottom="96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180"/>
    </w:pPr>
    <w:rPr>
      <w:rFonts w:ascii="Times New Roman" w:hAnsi="Times New Roman"/>
      <w:b/>
      <w:color w:val="000000"/>
      <w:sz w:val="34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2026-10-08T17:02:01.920Z</dcterms:created>
  <dcterms:modified xsi:type="dcterms:W3CDTF">2026-10-08T17:02:01.920Z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