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Приложение: порядок сдачи и приёмки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Передача</w:t>
      </w:r>
    </w:p>
    <w:p>
      <w:pPr>
        <w:pStyle w:val="ListBullet"/>
      </w:pPr>
      <w:r>
        <w:t>Уведомление за [___] дней</w:t>
      </w:r>
    </w:p>
    <w:p>
      <w:pPr>
        <w:pStyle w:val="ListBullet"/>
      </w:pPr>
      <w:r>
        <w:t>Комплект по реестру</w:t>
      </w:r>
    </w:p>
    <w:p>
      <w:pPr>
        <w:pStyle w:val="ListBullet"/>
      </w:pPr>
      <w:r>
        <w:t>Доказуемый канал связи</w:t>
      </w:r>
    </w:p>
    <w:p>
      <w:pPr>
        <w:pStyle w:val="Heading1"/>
      </w:pPr>
      <w:r>
        <w:t>Проверка</w:t>
      </w:r>
    </w:p>
    <w:p>
      <w:pPr>
        <w:pStyle w:val="ListBullet"/>
      </w:pPr>
      <w:r>
        <w:t>Срок: [___] рабочих дней</w:t>
      </w:r>
    </w:p>
    <w:p>
      <w:pPr>
        <w:pStyle w:val="ListBullet"/>
      </w:pPr>
      <w:r>
        <w:t>Единый мотивированный перечень замечаний</w:t>
      </w:r>
    </w:p>
    <w:p>
      <w:pPr>
        <w:pStyle w:val="ListBullet"/>
      </w:pPr>
      <w:r>
        <w:t>Повторная проверка: [___] дней</w:t>
      </w:r>
    </w:p>
    <w:p>
      <w:pPr>
        <w:pStyle w:val="Heading1"/>
      </w:pPr>
      <w:r>
        <w:t>Итог</w:t>
      </w:r>
    </w:p>
    <w:p>
      <w:pPr>
        <w:pStyle w:val="ListBullet"/>
      </w:pPr>
      <w:r>
        <w:t>Подписание / мотивированный отказ / оформление неоспариваемой части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Приложение: порядок сдачи и приёмки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/ РАБОЧИЙ ФОРМА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