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ТАБЛИЦА сроков хранения исполнительной документации</w:t>
      </w:r>
    </w:p>
    <w:p/>
    <w:p>
      <w:pPr>
        <w:pStyle w:val="Heading1"/>
      </w:pPr>
      <w:r>
        <w:t>Сроки хранения по видам документов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Вид документа</w:t>
            </w:r>
          </w:p>
        </w:tc>
        <w:tc>
          <w:tcPr>
            <w:tcW w:type="dxa" w:w="2160"/>
          </w:tcPr>
          <w:p>
            <w:r>
              <w:t>Срок хранения</w:t>
            </w:r>
          </w:p>
        </w:tc>
        <w:tc>
          <w:tcPr>
            <w:tcW w:type="dxa" w:w="2160"/>
          </w:tcPr>
          <w:p>
            <w:r>
              <w:t>Нормативная база</w:t>
            </w:r>
          </w:p>
        </w:tc>
        <w:tc>
          <w:tcPr>
            <w:tcW w:type="dxa" w:w="2160"/>
          </w:tcPr>
          <w:p>
            <w:r>
              <w:t>Примечание</w:t>
            </w:r>
          </w:p>
        </w:tc>
      </w:tr>
      <w:tr>
        <w:tc>
          <w:tcPr>
            <w:tcW w:type="dxa" w:w="2160"/>
          </w:tcPr>
          <w:p>
            <w:r>
              <w:t>КС-2, КС-3</w:t>
            </w:r>
          </w:p>
        </w:tc>
        <w:tc>
          <w:tcPr>
            <w:tcW w:type="dxa" w:w="2160"/>
          </w:tcPr>
          <w:p>
            <w:r>
              <w:t>Постоянно</w:t>
            </w:r>
          </w:p>
        </w:tc>
        <w:tc>
          <w:tcPr>
            <w:tcW w:type="dxa" w:w="2160"/>
          </w:tcPr>
          <w:p>
            <w:r>
              <w:t>Перечень 2019 (п. 424)</w:t>
            </w:r>
          </w:p>
        </w:tc>
        <w:tc>
          <w:tcPr>
            <w:tcW w:type="dxa" w:w="2160"/>
          </w:tcPr>
          <w:p>
            <w:r>
              <w:t>Передаются в архив заказчика</w:t>
            </w:r>
          </w:p>
        </w:tc>
      </w:tr>
      <w:tr>
        <w:tc>
          <w:tcPr>
            <w:tcW w:type="dxa" w:w="2160"/>
          </w:tcPr>
          <w:p>
            <w:r>
              <w:t>Акты скрытых работ (АОСР)</w:t>
            </w:r>
          </w:p>
        </w:tc>
        <w:tc>
          <w:tcPr>
            <w:tcW w:type="dxa" w:w="2160"/>
          </w:tcPr>
          <w:p>
            <w:r>
              <w:t>Постоянно</w:t>
            </w:r>
          </w:p>
        </w:tc>
        <w:tc>
          <w:tcPr>
            <w:tcW w:type="dxa" w:w="2160"/>
          </w:tcPr>
          <w:p>
            <w:r>
              <w:t>Перечень 2019 (п. 424)</w:t>
            </w:r>
          </w:p>
        </w:tc>
        <w:tc>
          <w:tcPr>
            <w:tcW w:type="dxa" w:w="2160"/>
          </w:tcPr>
          <w:p>
            <w:r>
              <w:t>В составе дела КС-2</w:t>
            </w:r>
          </w:p>
        </w:tc>
      </w:tr>
      <w:tr>
        <w:tc>
          <w:tcPr>
            <w:tcW w:type="dxa" w:w="2160"/>
          </w:tcPr>
          <w:p>
            <w:r>
              <w:t>Исполнительные схемы</w:t>
            </w:r>
          </w:p>
        </w:tc>
        <w:tc>
          <w:tcPr>
            <w:tcW w:type="dxa" w:w="2160"/>
          </w:tcPr>
          <w:p>
            <w:r>
              <w:t>Постоянно</w:t>
            </w:r>
          </w:p>
        </w:tc>
        <w:tc>
          <w:tcPr>
            <w:tcW w:type="dxa" w:w="2160"/>
          </w:tcPr>
          <w:p>
            <w:r>
              <w:t>Перечень 2019 (п. 424)</w:t>
            </w:r>
          </w:p>
        </w:tc>
        <w:tc>
          <w:tcPr>
            <w:tcW w:type="dxa" w:w="2160"/>
          </w:tcPr>
          <w:p>
            <w:r>
              <w:t>В составе дела КС-2</w:t>
            </w:r>
          </w:p>
        </w:tc>
      </w:tr>
      <w:tr>
        <w:tc>
          <w:tcPr>
            <w:tcW w:type="dxa" w:w="2160"/>
          </w:tcPr>
          <w:p>
            <w:r>
              <w:t>Журналы работ</w:t>
            </w:r>
          </w:p>
        </w:tc>
        <w:tc>
          <w:tcPr>
            <w:tcW w:type="dxa" w:w="2160"/>
          </w:tcPr>
          <w:p>
            <w:r>
              <w:t>5 лет</w:t>
            </w:r>
          </w:p>
        </w:tc>
        <w:tc>
          <w:tcPr>
            <w:tcW w:type="dxa" w:w="2160"/>
          </w:tcPr>
          <w:p>
            <w:r>
              <w:t>Перечень 2019 (п. 572)</w:t>
            </w:r>
          </w:p>
        </w:tc>
        <w:tc>
          <w:tcPr>
            <w:tcW w:type="dxa" w:w="2160"/>
          </w:tcPr>
          <w:p>
            <w:r>
              <w:t>После сдачи объекта</w:t>
            </w:r>
          </w:p>
        </w:tc>
      </w:tr>
      <w:tr>
        <w:tc>
          <w:tcPr>
            <w:tcW w:type="dxa" w:w="2160"/>
          </w:tcPr>
          <w:p>
            <w:r>
              <w:t>Сертификаты на материалы</w:t>
            </w:r>
          </w:p>
        </w:tc>
        <w:tc>
          <w:tcPr>
            <w:tcW w:type="dxa" w:w="2160"/>
          </w:tcPr>
          <w:p>
            <w:r>
              <w:t>5 лет</w:t>
            </w:r>
          </w:p>
        </w:tc>
        <w:tc>
          <w:tcPr>
            <w:tcW w:type="dxa" w:w="2160"/>
          </w:tcPr>
          <w:p>
            <w:r>
              <w:t>Перечень 2019 (п. 572)</w:t>
            </w:r>
          </w:p>
        </w:tc>
        <w:tc>
          <w:tcPr>
            <w:tcW w:type="dxa" w:w="2160"/>
          </w:tcPr>
          <w:p>
            <w:r>
              <w:t>С момента изготовления</w:t>
            </w:r>
          </w:p>
        </w:tc>
      </w:tr>
      <w:tr>
        <w:tc>
          <w:tcPr>
            <w:tcW w:type="dxa" w:w="2160"/>
          </w:tcPr>
          <w:p>
            <w:r>
              <w:t>Паспорта на изделия</w:t>
            </w:r>
          </w:p>
        </w:tc>
        <w:tc>
          <w:tcPr>
            <w:tcW w:type="dxa" w:w="2160"/>
          </w:tcPr>
          <w:p>
            <w:r>
              <w:t>5 лет</w:t>
            </w:r>
          </w:p>
        </w:tc>
        <w:tc>
          <w:tcPr>
            <w:tcW w:type="dxa" w:w="2160"/>
          </w:tcPr>
          <w:p>
            <w:r>
              <w:t>Перечень 2019 (п. 572)</w:t>
            </w:r>
          </w:p>
        </w:tc>
        <w:tc>
          <w:tcPr>
            <w:tcW w:type="dxa" w:w="2160"/>
          </w:tcPr>
          <w:p>
            <w:r>
              <w:t>С момента изготовления</w:t>
            </w:r>
          </w:p>
        </w:tc>
      </w:tr>
      <w:tr>
        <w:tc>
          <w:tcPr>
            <w:tcW w:type="dxa" w:w="2160"/>
          </w:tcPr>
          <w:p>
            <w:r>
              <w:t>Переписка с заказчиком</w:t>
            </w:r>
          </w:p>
        </w:tc>
        <w:tc>
          <w:tcPr>
            <w:tcW w:type="dxa" w:w="2160"/>
          </w:tcPr>
          <w:p>
            <w:r>
              <w:t>5 лет</w:t>
            </w:r>
          </w:p>
        </w:tc>
        <w:tc>
          <w:tcPr>
            <w:tcW w:type="dxa" w:w="2160"/>
          </w:tcPr>
          <w:p>
            <w:r>
              <w:t>Перечень 2019 (п. 572)</w:t>
            </w:r>
          </w:p>
        </w:tc>
        <w:tc>
          <w:tcPr>
            <w:tcW w:type="dxa" w:w="2160"/>
          </w:tcPr>
          <w:p>
            <w:r>
              <w:t>Вкл. электронную</w:t>
            </w:r>
          </w:p>
        </w:tc>
      </w:tr>
      <w:tr>
        <w:tc>
          <w:tcPr>
            <w:tcW w:type="dxa" w:w="2160"/>
          </w:tcPr>
          <w:p>
            <w:r>
              <w:t>Сметная документация</w:t>
            </w:r>
          </w:p>
        </w:tc>
        <w:tc>
          <w:tcPr>
            <w:tcW w:type="dxa" w:w="2160"/>
          </w:tcPr>
          <w:p>
            <w:r>
              <w:t>Постоянно</w:t>
            </w:r>
          </w:p>
        </w:tc>
        <w:tc>
          <w:tcPr>
            <w:tcW w:type="dxa" w:w="2160"/>
          </w:tcPr>
          <w:p>
            <w:r>
              <w:t>Перечень 2019 (п. 424)</w:t>
            </w:r>
          </w:p>
        </w:tc>
        <w:tc>
          <w:tcPr>
            <w:tcW w:type="dxa" w:w="2160"/>
          </w:tcPr>
          <w:p>
            <w:r>
              <w:t>Если объект капитального строительства</w:t>
            </w:r>
          </w:p>
        </w:tc>
      </w:tr>
    </w:tbl>
    <w:p/>
    <w:p>
      <w:pPr>
        <w:pStyle w:val="Heading1"/>
      </w:pPr>
      <w:r>
        <w:t>Важно</w:t>
      </w:r>
    </w:p>
    <w:p>
      <w:r>
        <w:t>Сроки хранения могут отличаться в зависимости от типа объекта (капитальное строительство, реконструкция, линейный объект). Уточняйте в договоре и проекте организации строительства.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