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СРАВНИТЕЛЬНАЯ ТАБЛИЦА: Бесплатный материал vs Полный комплект</w:t>
      </w:r>
    </w:p>
    <w:p/>
    <w:p>
      <w:pPr>
        <w:pStyle w:val="Heading1"/>
      </w:pPr>
      <w:r>
        <w:t>Сравнение возможностей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Возможность</w:t>
            </w:r>
          </w:p>
        </w:tc>
        <w:tc>
          <w:tcPr>
            <w:tcW w:type="dxa" w:w="2160"/>
          </w:tcPr>
          <w:p>
            <w:r>
              <w:t>Бесплатно</w:t>
            </w:r>
          </w:p>
        </w:tc>
        <w:tc>
          <w:tcPr>
            <w:tcW w:type="dxa" w:w="2160"/>
          </w:tcPr>
          <w:p>
            <w:r>
              <w:t>Полный комплект</w:t>
            </w:r>
          </w:p>
        </w:tc>
        <w:tc>
          <w:tcPr>
            <w:tcW w:type="dxa" w:w="2160"/>
          </w:tcPr>
          <w:p>
            <w:r>
              <w:t>Почему это важно</w:t>
            </w:r>
          </w:p>
        </w:tc>
      </w:tr>
      <w:tr>
        <w:tc>
          <w:tcPr>
            <w:tcW w:type="dxa" w:w="2160"/>
          </w:tcPr>
          <w:p>
            <w:r>
              <w:t>Проверочный лист КС</w:t>
            </w:r>
          </w:p>
        </w:tc>
        <w:tc>
          <w:tcPr>
            <w:tcW w:type="dxa" w:w="2160"/>
          </w:tcPr>
          <w:p>
            <w:r>
              <w:t>Базовый (20 пунктов)</w:t>
            </w:r>
          </w:p>
        </w:tc>
        <w:tc>
          <w:tcPr>
            <w:tcW w:type="dxa" w:w="2160"/>
          </w:tcPr>
          <w:p>
            <w:r>
              <w:t>Расширенный (50+ пунктов)</w:t>
            </w:r>
          </w:p>
        </w:tc>
        <w:tc>
          <w:tcPr>
            <w:tcW w:type="dxa" w:w="2160"/>
          </w:tcPr>
          <w:p>
            <w:r>
              <w:t>Меньше возвратов от заказчика</w:t>
            </w:r>
          </w:p>
        </w:tc>
      </w:tr>
      <w:tr>
        <w:tc>
          <w:tcPr>
            <w:tcW w:type="dxa" w:w="2160"/>
          </w:tcPr>
          <w:p>
            <w:r>
              <w:t>Реестр приложений</w:t>
            </w:r>
          </w:p>
        </w:tc>
        <w:tc>
          <w:tcPr>
            <w:tcW w:type="dxa" w:w="2160"/>
          </w:tcPr>
          <w:p>
            <w:r>
              <w:t>Ручной</w:t>
            </w:r>
          </w:p>
        </w:tc>
        <w:tc>
          <w:tcPr>
            <w:tcW w:type="dxa" w:w="2160"/>
          </w:tcPr>
          <w:p>
            <w:r>
              <w:t>С автопроверкой статуса</w:t>
            </w:r>
          </w:p>
        </w:tc>
        <w:tc>
          <w:tcPr>
            <w:tcW w:type="dxa" w:w="2160"/>
          </w:tcPr>
          <w:p>
            <w:r>
              <w:t>Не забудете приложить акты</w:t>
            </w:r>
          </w:p>
        </w:tc>
      </w:tr>
      <w:tr>
        <w:tc>
          <w:tcPr>
            <w:tcW w:type="dxa" w:w="2160"/>
          </w:tcPr>
          <w:p>
            <w:r>
              <w:t>Акты скрытых работ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5 типовых форм</w:t>
            </w:r>
          </w:p>
        </w:tc>
        <w:tc>
          <w:tcPr>
            <w:tcW w:type="dxa" w:w="2160"/>
          </w:tcPr>
          <w:p>
            <w:r>
              <w:t>Закрывает основные виды работ</w:t>
            </w:r>
          </w:p>
        </w:tc>
      </w:tr>
      <w:tr>
        <w:tc>
          <w:tcPr>
            <w:tcW w:type="dxa" w:w="2160"/>
          </w:tcPr>
          <w:p>
            <w:r>
              <w:t>Протокол проверки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Готовый форма</w:t>
            </w:r>
          </w:p>
        </w:tc>
        <w:tc>
          <w:tcPr>
            <w:tcW w:type="dxa" w:w="2160"/>
          </w:tcPr>
          <w:p>
            <w:r>
              <w:t>Формализует процесс</w:t>
            </w:r>
          </w:p>
        </w:tc>
      </w:tr>
      <w:tr>
        <w:tc>
          <w:tcPr>
            <w:tcW w:type="dxa" w:w="2160"/>
          </w:tcPr>
          <w:p>
            <w:r>
              <w:t>Письмо о недостатках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Форма с юридическими ссылками</w:t>
            </w:r>
          </w:p>
        </w:tc>
        <w:tc>
          <w:tcPr>
            <w:tcW w:type="dxa" w:w="2160"/>
          </w:tcPr>
          <w:p>
            <w:r>
              <w:t>Профессиональный ответ заказчику</w:t>
            </w:r>
          </w:p>
        </w:tc>
      </w:tr>
      <w:tr>
        <w:tc>
          <w:tcPr>
            <w:tcW w:type="dxa" w:w="2160"/>
          </w:tcPr>
          <w:p>
            <w:r>
              <w:t>Журнал передачи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отслеживанием возвратов</w:t>
            </w:r>
          </w:p>
        </w:tc>
        <w:tc>
          <w:tcPr>
            <w:tcW w:type="dxa" w:w="2160"/>
          </w:tcPr>
          <w:p>
            <w:r>
              <w:t>Контролируете статус</w:t>
            </w:r>
          </w:p>
        </w:tc>
      </w:tr>
      <w:tr>
        <w:tc>
          <w:tcPr>
            <w:tcW w:type="dxa" w:w="2160"/>
          </w:tcPr>
          <w:p>
            <w:r>
              <w:t>Сроки хранения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Таблица по всем видам документов</w:t>
            </w:r>
          </w:p>
        </w:tc>
        <w:tc>
          <w:tcPr>
            <w:tcW w:type="dxa" w:w="2160"/>
          </w:tcPr>
          <w:p>
            <w:r>
              <w:t>Не нарушаете архивные требования</w:t>
            </w:r>
          </w:p>
        </w:tc>
      </w:tr>
      <w:tr>
        <w:tc>
          <w:tcPr>
            <w:tcW w:type="dxa" w:w="2160"/>
          </w:tcPr>
          <w:p>
            <w:r>
              <w:t>Алгоритм проверки</w:t>
            </w:r>
          </w:p>
        </w:tc>
        <w:tc>
          <w:tcPr>
            <w:tcW w:type="dxa" w:w="2160"/>
          </w:tcPr>
          <w:p>
            <w:r>
              <w:t>Краткий</w:t>
            </w:r>
          </w:p>
        </w:tc>
        <w:tc>
          <w:tcPr>
            <w:tcW w:type="dxa" w:w="2160"/>
          </w:tcPr>
          <w:p>
            <w:r>
              <w:t>Пошаговый с контрольными точками</w:t>
            </w:r>
          </w:p>
        </w:tc>
        <w:tc>
          <w:tcPr>
            <w:tcW w:type="dxa" w:w="2160"/>
          </w:tcPr>
          <w:p>
            <w:r>
              <w:t>Системный подход</w:t>
            </w:r>
          </w:p>
        </w:tc>
      </w:tr>
      <w:tr>
        <w:tc>
          <w:tcPr>
            <w:tcW w:type="dxa" w:w="2160"/>
          </w:tcPr>
          <w:p>
            <w:r>
              <w:t>Типовые ошибки</w:t>
            </w:r>
          </w:p>
        </w:tc>
        <w:tc>
          <w:tcPr>
            <w:tcW w:type="dxa" w:w="2160"/>
          </w:tcPr>
          <w:p>
            <w:r>
              <w:t>7 ошибок</w:t>
            </w:r>
          </w:p>
        </w:tc>
        <w:tc>
          <w:tcPr>
            <w:tcW w:type="dxa" w:w="2160"/>
          </w:tcPr>
          <w:p>
            <w:r>
              <w:t>15+ ошибок + способы устранения</w:t>
            </w:r>
          </w:p>
        </w:tc>
        <w:tc>
          <w:tcPr>
            <w:tcW w:type="dxa" w:w="2160"/>
          </w:tcPr>
          <w:p>
            <w:r>
              <w:t>Предупреждаете проблемы</w:t>
            </w:r>
          </w:p>
        </w:tc>
      </w:tr>
    </w:tbl>
    <w:p/>
    <w:p>
      <w:r>
        <w:br/>
        <w:t>Полный комплект 'КС без возврата' - это не просто формы. Это система, которая снижает количество возвратов КС от заказчика с 30-40% до 5-10%.</w:t>
      </w:r>
    </w:p>
    <w:p>
      <w:r>
        <w:br/>
        <w:t>Стоимость комплекта: 1 990 ₽</w:t>
        <w:br/>
        <w:t>Стоимость одного возврата КС: 3-5 рабочих дней + риск срыва сроков оплаты.</w:t>
        <w:br/>
        <w:t>Окупаемость: после первого же объекта.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